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6AD" w:rsidRPr="006E3C42" w:rsidRDefault="00226B7B" w:rsidP="00687BFD">
      <w:pPr>
        <w:rPr>
          <w:rFonts w:ascii="Century Gothic" w:hAnsi="Century Gothic"/>
          <w:b/>
          <w:color w:val="auto"/>
        </w:rPr>
      </w:pPr>
      <w:r w:rsidRPr="006E3C42">
        <w:rPr>
          <w:rFonts w:cstheme="minorHAnsi"/>
          <w:b/>
          <w:noProof/>
          <w:color w:val="auto"/>
          <w:lang w:eastAsia="pt-BR"/>
        </w:rPr>
        <mc:AlternateContent>
          <mc:Choice Requires="wps">
            <w:drawing>
              <wp:anchor distT="0" distB="0" distL="114300" distR="114300" simplePos="0" relativeHeight="251659264" behindDoc="0" locked="0" layoutInCell="1" allowOverlap="1" wp14:anchorId="1491A847" wp14:editId="25313135">
                <wp:simplePos x="0" y="0"/>
                <wp:positionH relativeFrom="column">
                  <wp:posOffset>5219700</wp:posOffset>
                </wp:positionH>
                <wp:positionV relativeFrom="paragraph">
                  <wp:posOffset>-721897</wp:posOffset>
                </wp:positionV>
                <wp:extent cx="1371600" cy="107251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725150"/>
                        </a:xfrm>
                        <a:prstGeom prst="rect">
                          <a:avLst/>
                        </a:prstGeom>
                        <a:solidFill>
                          <a:srgbClr val="5F708D"/>
                        </a:solidFill>
                        <a:ln>
                          <a:solidFill>
                            <a:srgbClr val="576B8A"/>
                          </a:solidFill>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24F78F" id="Retângulo 2" o:spid="_x0000_s1026" style="position:absolute;margin-left:411pt;margin-top:-56.85pt;width:108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" fillcolor="#5f708d" strokecolor="#576b8a"/>
            </w:pict>
          </mc:Fallback>
        </mc:AlternateContent>
      </w: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FF26AD" w:rsidP="00687BFD">
      <w:pPr>
        <w:tabs>
          <w:tab w:val="left" w:pos="6422"/>
        </w:tabs>
        <w:rPr>
          <w:rFonts w:ascii="Century Gothic" w:hAnsi="Century Gothic"/>
          <w:b/>
          <w:color w:val="auto"/>
        </w:rPr>
      </w:pPr>
    </w:p>
    <w:p w:rsidR="00FF26AD" w:rsidRPr="006E3C42" w:rsidRDefault="00AF522C" w:rsidP="00687BFD">
      <w:pPr>
        <w:rPr>
          <w:rFonts w:ascii="Century Gothic" w:hAnsi="Century Gothic"/>
          <w:b/>
          <w:color w:val="auto"/>
        </w:rPr>
      </w:pPr>
      <w:r w:rsidRPr="006E3C42">
        <w:rPr>
          <w:rFonts w:cstheme="minorHAnsi"/>
          <w:b/>
          <w:noProof/>
          <w:color w:val="auto"/>
          <w:sz w:val="36"/>
          <w:szCs w:val="36"/>
          <w:lang w:eastAsia="pt-BR"/>
        </w:rPr>
        <w:drawing>
          <wp:anchor distT="0" distB="0" distL="114300" distR="114300" simplePos="0" relativeHeight="251660288" behindDoc="1" locked="0" layoutInCell="1" allowOverlap="1" wp14:anchorId="221BE990" wp14:editId="7E5FAF12">
            <wp:simplePos x="0" y="0"/>
            <wp:positionH relativeFrom="column">
              <wp:posOffset>1608992</wp:posOffset>
            </wp:positionH>
            <wp:positionV relativeFrom="paragraph">
              <wp:posOffset>119478</wp:posOffset>
            </wp:positionV>
            <wp:extent cx="2076450" cy="20764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90x90.png"/>
                    <pic:cNvPicPr/>
                  </pic:nvPicPr>
                  <pic:blipFill>
                    <a:blip r:embed="rId8">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14:sizeRelH relativeFrom="margin">
              <wp14:pctWidth>0</wp14:pctWidth>
            </wp14:sizeRelH>
            <wp14:sizeRelV relativeFrom="margin">
              <wp14:pctHeight>0</wp14:pctHeight>
            </wp14:sizeRelV>
          </wp:anchor>
        </w:drawing>
      </w: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FF26AD" w:rsidP="00687BFD">
      <w:pPr>
        <w:rPr>
          <w:rFonts w:ascii="Century Gothic" w:hAnsi="Century Gothic"/>
          <w:b/>
          <w:color w:val="auto"/>
        </w:rPr>
      </w:pPr>
    </w:p>
    <w:p w:rsidR="00FF26AD" w:rsidRPr="006E3C42" w:rsidRDefault="006560C7" w:rsidP="00AF522C">
      <w:pPr>
        <w:ind w:right="849"/>
        <w:jc w:val="center"/>
        <w:rPr>
          <w:b/>
          <w:color w:val="auto"/>
          <w:sz w:val="40"/>
        </w:rPr>
      </w:pPr>
      <w:r w:rsidRPr="006E3C42">
        <w:rPr>
          <w:b/>
          <w:color w:val="auto"/>
          <w:sz w:val="40"/>
        </w:rPr>
        <w:t>POLÍTICA DE INVESTIMENTOS</w:t>
      </w:r>
      <w:r w:rsidR="00CB3977" w:rsidRPr="006E3C42">
        <w:rPr>
          <w:b/>
          <w:color w:val="auto"/>
          <w:sz w:val="40"/>
        </w:rPr>
        <w:t xml:space="preserve"> 2019</w:t>
      </w:r>
    </w:p>
    <w:p w:rsidR="00AF522C" w:rsidRPr="006E3C42" w:rsidRDefault="00AF522C" w:rsidP="00AF522C">
      <w:pPr>
        <w:spacing w:after="0"/>
        <w:ind w:left="-284" w:right="849"/>
        <w:jc w:val="center"/>
        <w:rPr>
          <w:rFonts w:ascii="Century Gothic" w:hAnsi="Century Gothic"/>
          <w:b/>
          <w:color w:val="auto"/>
          <w:sz w:val="32"/>
          <w:szCs w:val="32"/>
        </w:rPr>
      </w:pPr>
      <w:r w:rsidRPr="006E3C42">
        <w:rPr>
          <w:rFonts w:ascii="Segoe UI" w:hAnsi="Segoe UI" w:cs="Segoe UI"/>
          <w:color w:val="auto"/>
          <w:sz w:val="32"/>
          <w:szCs w:val="32"/>
          <w:shd w:val="clear" w:color="auto" w:fill="FFFFFF"/>
        </w:rPr>
        <w:t>INSTITUTO DE PREVIDÊNCIA DOS SERVIDORES PÚBLICOS DO MUNICÍPIO DE BOM JESUS DOS PERDÕES</w:t>
      </w:r>
    </w:p>
    <w:p w:rsidR="00D81DF8" w:rsidRPr="006E3C42" w:rsidRDefault="00D81DF8" w:rsidP="00687BFD">
      <w:pPr>
        <w:rPr>
          <w:b/>
          <w:color w:val="auto"/>
        </w:rPr>
      </w:pPr>
      <w:r w:rsidRPr="006E3C42">
        <w:rPr>
          <w:b/>
          <w:color w:val="auto"/>
        </w:rPr>
        <w:br w:type="page"/>
      </w:r>
    </w:p>
    <w:sdt>
      <w:sdtPr>
        <w:rPr>
          <w:bCs/>
          <w:color w:val="auto"/>
        </w:rPr>
        <w:id w:val="1261562148"/>
        <w:docPartObj>
          <w:docPartGallery w:val="Table of Contents"/>
          <w:docPartUnique/>
        </w:docPartObj>
      </w:sdtPr>
      <w:sdtEndPr>
        <w:rPr>
          <w:b/>
          <w:szCs w:val="20"/>
        </w:rPr>
      </w:sdtEndPr>
      <w:sdtContent>
        <w:p w:rsidR="00CC3E23" w:rsidRPr="006E3C42" w:rsidRDefault="00CC3E23" w:rsidP="007B1153">
          <w:pPr>
            <w:jc w:val="center"/>
            <w:rPr>
              <w:b/>
              <w:color w:val="auto"/>
              <w:sz w:val="18"/>
            </w:rPr>
          </w:pPr>
          <w:r w:rsidRPr="006E3C42">
            <w:rPr>
              <w:b/>
              <w:color w:val="auto"/>
              <w:sz w:val="18"/>
            </w:rPr>
            <w:t>SUMÁRIO</w:t>
          </w:r>
        </w:p>
        <w:p w:rsidR="00D617DD" w:rsidRPr="006E3C42" w:rsidRDefault="00CC3E23">
          <w:pPr>
            <w:pStyle w:val="Sumrio1"/>
            <w:tabs>
              <w:tab w:val="left" w:pos="400"/>
              <w:tab w:val="right" w:leader="dot" w:pos="9061"/>
            </w:tabs>
            <w:rPr>
              <w:rFonts w:asciiTheme="minorHAnsi" w:eastAsiaTheme="minorEastAsia" w:hAnsiTheme="minorHAnsi"/>
              <w:noProof/>
              <w:color w:val="auto"/>
              <w:sz w:val="22"/>
              <w:lang w:eastAsia="pt-BR"/>
            </w:rPr>
          </w:pPr>
          <w:r w:rsidRPr="006E3C42">
            <w:rPr>
              <w:bCs/>
              <w:color w:val="auto"/>
              <w:sz w:val="16"/>
            </w:rPr>
            <w:fldChar w:fldCharType="begin"/>
          </w:r>
          <w:r w:rsidRPr="006E3C42">
            <w:rPr>
              <w:bCs/>
              <w:color w:val="auto"/>
              <w:sz w:val="16"/>
            </w:rPr>
            <w:instrText xml:space="preserve"> TOC \o "1-3" \h \z \u </w:instrText>
          </w:r>
          <w:r w:rsidRPr="006E3C42">
            <w:rPr>
              <w:bCs/>
              <w:color w:val="auto"/>
              <w:sz w:val="16"/>
            </w:rPr>
            <w:fldChar w:fldCharType="separate"/>
          </w:r>
          <w:hyperlink w:anchor="_Toc521592781" w:history="1">
            <w:r w:rsidR="00D617DD" w:rsidRPr="006E3C42">
              <w:rPr>
                <w:rStyle w:val="Hyperlink"/>
                <w:noProof/>
                <w:color w:val="auto"/>
              </w:rPr>
              <w:t>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INTRODUÇÃO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_Toc521592781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3</w:t>
            </w:r>
            <w:r w:rsidR="00D617DD" w:rsidRPr="006E3C42">
              <w:rPr>
                <w:noProof/>
                <w:webHidden/>
                <w:color w:val="auto"/>
              </w:rPr>
              <w:fldChar w:fldCharType="end"/>
            </w:r>
          </w:hyperlink>
        </w:p>
        <w:p w:rsidR="00D617DD" w:rsidRPr="006E3C42" w:rsidRDefault="006E3C42">
          <w:pPr>
            <w:pStyle w:val="Sumrio1"/>
            <w:tabs>
              <w:tab w:val="left" w:pos="400"/>
              <w:tab w:val="right" w:leader="dot" w:pos="9061"/>
            </w:tabs>
            <w:rPr>
              <w:rFonts w:asciiTheme="minorHAnsi" w:eastAsiaTheme="minorEastAsia" w:hAnsiTheme="minorHAnsi"/>
              <w:noProof/>
              <w:color w:val="auto"/>
              <w:sz w:val="22"/>
              <w:lang w:eastAsia="pt-BR"/>
            </w:rPr>
          </w:pPr>
          <w:hyperlink w:anchor="_Toc521592782" w:history="1">
            <w:r w:rsidR="00D617DD" w:rsidRPr="006E3C42">
              <w:rPr>
                <w:rStyle w:val="Hyperlink"/>
                <w:noProof/>
                <w:color w:val="auto"/>
              </w:rPr>
              <w:t>2</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OBJETIVO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_Toc521592782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3</w:t>
            </w:r>
            <w:r w:rsidR="00D617DD" w:rsidRPr="006E3C42">
              <w:rPr>
                <w:noProof/>
                <w:webHidden/>
                <w:color w:val="auto"/>
              </w:rPr>
              <w:fldChar w:fldCharType="end"/>
            </w:r>
          </w:hyperlink>
        </w:p>
        <w:p w:rsidR="00D617DD" w:rsidRPr="006E3C42" w:rsidRDefault="006E3C42">
          <w:pPr>
            <w:pStyle w:val="Sumrio1"/>
            <w:tabs>
              <w:tab w:val="left" w:pos="400"/>
              <w:tab w:val="right" w:leader="dot" w:pos="9061"/>
            </w:tabs>
            <w:rPr>
              <w:rFonts w:asciiTheme="minorHAnsi" w:eastAsiaTheme="minorEastAsia" w:hAnsiTheme="minorHAnsi"/>
              <w:noProof/>
              <w:color w:val="auto"/>
              <w:sz w:val="22"/>
              <w:lang w:eastAsia="pt-BR"/>
            </w:rPr>
          </w:pPr>
          <w:hyperlink w:anchor="_Toc521592783" w:history="1">
            <w:r w:rsidR="00D617DD" w:rsidRPr="006E3C42">
              <w:rPr>
                <w:rStyle w:val="Hyperlink"/>
                <w:noProof/>
                <w:color w:val="auto"/>
              </w:rPr>
              <w:t>3</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CENÁRIO ECONÔMICO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_Toc521592783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3</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84" w:history="1">
            <w:r w:rsidR="00D617DD" w:rsidRPr="006E3C42">
              <w:rPr>
                <w:rStyle w:val="Hyperlink"/>
                <w:noProof/>
                <w:color w:val="auto"/>
              </w:rPr>
              <w:t>3.1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INTERNACIONAL</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_Toc521592784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3</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85" w:history="1">
            <w:r w:rsidR="00D617DD" w:rsidRPr="006E3C42">
              <w:rPr>
                <w:rStyle w:val="Hyperlink"/>
                <w:noProof/>
                <w:color w:val="auto"/>
              </w:rPr>
              <w:t>3.2</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NACIONAL</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_Toc521592785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5</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86" w:history="1">
            <w:r w:rsidR="00D617DD" w:rsidRPr="006E3C42">
              <w:rPr>
                <w:rStyle w:val="Hyperlink"/>
                <w:noProof/>
                <w:color w:val="auto"/>
              </w:rPr>
              <w:t>3.3</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PERSPECTIVAS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_Toc521592786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7</w:t>
            </w:r>
            <w:r w:rsidR="00D617DD" w:rsidRPr="006E3C42">
              <w:rPr>
                <w:noProof/>
                <w:webHidden/>
                <w:color w:val="auto"/>
              </w:rPr>
              <w:fldChar w:fldCharType="end"/>
            </w:r>
          </w:hyperlink>
        </w:p>
        <w:p w:rsidR="00D617DD" w:rsidRPr="006E3C42" w:rsidRDefault="006E3C42">
          <w:pPr>
            <w:pStyle w:val="Sumrio3"/>
            <w:tabs>
              <w:tab w:val="left" w:pos="1100"/>
              <w:tab w:val="right" w:leader="dot" w:pos="9061"/>
            </w:tabs>
            <w:rPr>
              <w:rFonts w:asciiTheme="minorHAnsi" w:eastAsiaTheme="minorEastAsia" w:hAnsiTheme="minorHAnsi"/>
              <w:noProof/>
              <w:color w:val="auto"/>
              <w:sz w:val="22"/>
              <w:lang w:eastAsia="pt-BR"/>
            </w:rPr>
          </w:pPr>
          <w:hyperlink w:anchor="_Toc521592787" w:history="1">
            <w:r w:rsidR="00D617DD" w:rsidRPr="006E3C42">
              <w:rPr>
                <w:rStyle w:val="Hyperlink"/>
                <w:noProof/>
                <w:color w:val="auto"/>
              </w:rPr>
              <w:t>3.3.1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INTERNACIONAL</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_Toc521592787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7</w:t>
            </w:r>
            <w:r w:rsidR="00D617DD" w:rsidRPr="006E3C42">
              <w:rPr>
                <w:noProof/>
                <w:webHidden/>
                <w:color w:val="auto"/>
              </w:rPr>
              <w:fldChar w:fldCharType="end"/>
            </w:r>
          </w:hyperlink>
        </w:p>
        <w:p w:rsidR="00D617DD" w:rsidRPr="006E3C42" w:rsidRDefault="006E3C42">
          <w:pPr>
            <w:pStyle w:val="Sumrio3"/>
            <w:tabs>
              <w:tab w:val="left" w:pos="1100"/>
              <w:tab w:val="right" w:leader="dot" w:pos="9061"/>
            </w:tabs>
            <w:rPr>
              <w:rFonts w:asciiTheme="minorHAnsi" w:eastAsiaTheme="minorEastAsia" w:hAnsiTheme="minorHAnsi"/>
              <w:noProof/>
              <w:color w:val="auto"/>
              <w:sz w:val="22"/>
              <w:lang w:eastAsia="pt-BR"/>
            </w:rPr>
          </w:pPr>
          <w:hyperlink w:anchor="_Toc521592788" w:history="1">
            <w:r w:rsidR="00D617DD" w:rsidRPr="006E3C42">
              <w:rPr>
                <w:rStyle w:val="Hyperlink"/>
                <w:noProof/>
                <w:color w:val="auto"/>
              </w:rPr>
              <w:t>3.3.2</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NACIONAL</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_Toc521592788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8</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89" w:history="1">
            <w:r w:rsidR="00D617DD" w:rsidRPr="006E3C42">
              <w:rPr>
                <w:rStyle w:val="Hyperlink"/>
                <w:noProof/>
                <w:color w:val="auto"/>
              </w:rPr>
              <w:t>3.4</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EXPECTATIVAS DE MERCADO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_Toc521592789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10</w:t>
            </w:r>
            <w:r w:rsidR="00D617DD" w:rsidRPr="006E3C42">
              <w:rPr>
                <w:noProof/>
                <w:webHidden/>
                <w:color w:val="auto"/>
              </w:rPr>
              <w:fldChar w:fldCharType="end"/>
            </w:r>
          </w:hyperlink>
        </w:p>
        <w:p w:rsidR="00D617DD" w:rsidRPr="006E3C42" w:rsidRDefault="006E3C42">
          <w:pPr>
            <w:pStyle w:val="Sumrio1"/>
            <w:tabs>
              <w:tab w:val="left" w:pos="400"/>
              <w:tab w:val="right" w:leader="dot" w:pos="9061"/>
            </w:tabs>
            <w:rPr>
              <w:rFonts w:asciiTheme="minorHAnsi" w:eastAsiaTheme="minorEastAsia" w:hAnsiTheme="minorHAnsi"/>
              <w:noProof/>
              <w:color w:val="auto"/>
              <w:sz w:val="22"/>
              <w:lang w:eastAsia="pt-BR"/>
            </w:rPr>
          </w:pPr>
          <w:hyperlink w:anchor="_Toc521592790" w:history="1">
            <w:r w:rsidR="00D617DD" w:rsidRPr="006E3C42">
              <w:rPr>
                <w:rStyle w:val="Hyperlink"/>
                <w:noProof/>
                <w:color w:val="auto"/>
              </w:rPr>
              <w:t>4</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ALOCAÇÃO ESTRATÉGICA DOS RECURSOS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_Toc521592790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11</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91" w:history="1">
            <w:r w:rsidR="00D617DD" w:rsidRPr="006E3C42">
              <w:rPr>
                <w:rStyle w:val="Hyperlink"/>
                <w:noProof/>
                <w:color w:val="auto"/>
              </w:rPr>
              <w:t>4.1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SEGMENTO DE RENDA FIXA</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_Toc521592791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12</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92" w:history="1">
            <w:r w:rsidR="00D617DD" w:rsidRPr="006E3C42">
              <w:rPr>
                <w:rStyle w:val="Hyperlink"/>
                <w:noProof/>
                <w:color w:val="auto"/>
              </w:rPr>
              <w:t>4.2</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SEGMENTO DE RENDA VARIÁVEL E INVESTIMENTOS ESTRUTURADOS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_Toc521592792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13</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93" w:history="1">
            <w:r w:rsidR="00D617DD" w:rsidRPr="006E3C42">
              <w:rPr>
                <w:rStyle w:val="Hyperlink"/>
                <w:noProof/>
                <w:color w:val="auto"/>
              </w:rPr>
              <w:t>4.3</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ENQUADRAMENTO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_Toc521592793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13</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94" w:history="1">
            <w:r w:rsidR="00D617DD" w:rsidRPr="006E3C42">
              <w:rPr>
                <w:rStyle w:val="Hyperlink"/>
                <w:noProof/>
                <w:color w:val="auto"/>
              </w:rPr>
              <w:t>4.4</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VEDAÇÕES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_Toc521592794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13</w:t>
            </w:r>
            <w:r w:rsidR="00D617DD" w:rsidRPr="006E3C42">
              <w:rPr>
                <w:noProof/>
                <w:webHidden/>
                <w:color w:val="auto"/>
              </w:rPr>
              <w:fldChar w:fldCharType="end"/>
            </w:r>
          </w:hyperlink>
        </w:p>
        <w:p w:rsidR="00D617DD" w:rsidRPr="006E3C42" w:rsidRDefault="006E3C42">
          <w:pPr>
            <w:pStyle w:val="Sumrio1"/>
            <w:tabs>
              <w:tab w:val="left" w:pos="400"/>
              <w:tab w:val="right" w:leader="dot" w:pos="9061"/>
            </w:tabs>
            <w:rPr>
              <w:rFonts w:asciiTheme="minorHAnsi" w:eastAsiaTheme="minorEastAsia" w:hAnsiTheme="minorHAnsi"/>
              <w:noProof/>
              <w:color w:val="auto"/>
              <w:sz w:val="22"/>
              <w:lang w:eastAsia="pt-BR"/>
            </w:rPr>
          </w:pPr>
          <w:hyperlink w:anchor="_Toc521592795" w:history="1">
            <w:r w:rsidR="00D617DD" w:rsidRPr="006E3C42">
              <w:rPr>
                <w:rStyle w:val="Hyperlink"/>
                <w:noProof/>
                <w:color w:val="auto"/>
              </w:rPr>
              <w:t>5</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META ATUARIAL</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_Toc521592795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14</w:t>
            </w:r>
            <w:r w:rsidR="00D617DD" w:rsidRPr="006E3C42">
              <w:rPr>
                <w:noProof/>
                <w:webHidden/>
                <w:color w:val="auto"/>
              </w:rPr>
              <w:fldChar w:fldCharType="end"/>
            </w:r>
          </w:hyperlink>
        </w:p>
        <w:p w:rsidR="00D617DD" w:rsidRPr="006E3C42" w:rsidRDefault="006E3C42">
          <w:pPr>
            <w:pStyle w:val="Sumrio1"/>
            <w:tabs>
              <w:tab w:val="left" w:pos="400"/>
              <w:tab w:val="right" w:leader="dot" w:pos="9061"/>
            </w:tabs>
            <w:rPr>
              <w:rFonts w:asciiTheme="minorHAnsi" w:eastAsiaTheme="minorEastAsia" w:hAnsiTheme="minorHAnsi"/>
              <w:noProof/>
              <w:color w:val="auto"/>
              <w:sz w:val="22"/>
              <w:lang w:eastAsia="pt-BR"/>
            </w:rPr>
          </w:pPr>
          <w:hyperlink w:anchor="_Toc521592796" w:history="1">
            <w:r w:rsidR="00D617DD" w:rsidRPr="006E3C42">
              <w:rPr>
                <w:rStyle w:val="Hyperlink"/>
                <w:noProof/>
                <w:color w:val="auto"/>
              </w:rPr>
              <w:t>6</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ESTRUTURA DE GESTÃO DOS ATIVOS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_Toc521592796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14</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97" w:history="1">
            <w:r w:rsidR="00D617DD" w:rsidRPr="006E3C42">
              <w:rPr>
                <w:rStyle w:val="Hyperlink"/>
                <w:noProof/>
                <w:color w:val="auto"/>
              </w:rPr>
              <w:t>6.1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GESTÃO PRÓPRIA</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_Toc521592797 \h </w:instrText>
            </w:r>
            <w:r w:rsidR="00D617DD" w:rsidRPr="006E3C42">
              <w:rPr>
                <w:noProof/>
                <w:webHidden/>
                <w:color w:val="auto"/>
              </w:rPr>
            </w:r>
            <w:r w:rsidR="00D617DD" w:rsidRPr="006E3C42">
              <w:rPr>
                <w:noProof/>
                <w:webHidden/>
                <w:color w:val="auto"/>
              </w:rPr>
              <w:fldChar w:fldCharType="separate"/>
            </w:r>
            <w:r>
              <w:rPr>
                <w:b/>
                <w:bCs/>
                <w:noProof/>
                <w:webHidden/>
                <w:color w:val="auto"/>
              </w:rPr>
              <w:t>.</w:t>
            </w:r>
            <w:r w:rsidRPr="006E3C42">
              <w:rPr>
                <w:bCs/>
                <w:noProof/>
                <w:webHidden/>
                <w:color w:val="auto"/>
              </w:rPr>
              <w:t>14</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798" w:history="1">
            <w:r w:rsidR="00D617DD" w:rsidRPr="006E3C42">
              <w:rPr>
                <w:rStyle w:val="Hyperlink"/>
                <w:noProof/>
                <w:color w:val="auto"/>
              </w:rPr>
              <w:t>6.2</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ÓRGÃOS DE EXECUÇÃO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_Toc521592798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15</w:t>
            </w:r>
            <w:r w:rsidR="00D617DD" w:rsidRPr="006E3C42">
              <w:rPr>
                <w:noProof/>
                <w:webHidden/>
                <w:color w:val="auto"/>
              </w:rPr>
              <w:fldChar w:fldCharType="end"/>
            </w:r>
          </w:hyperlink>
        </w:p>
        <w:p w:rsidR="00D617DD" w:rsidRPr="006E3C42" w:rsidRDefault="006E3C42">
          <w:pPr>
            <w:pStyle w:val="Sumrio1"/>
            <w:tabs>
              <w:tab w:val="left" w:pos="400"/>
              <w:tab w:val="right" w:leader="dot" w:pos="9061"/>
            </w:tabs>
            <w:rPr>
              <w:rFonts w:asciiTheme="minorHAnsi" w:eastAsiaTheme="minorEastAsia" w:hAnsiTheme="minorHAnsi"/>
              <w:noProof/>
              <w:color w:val="auto"/>
              <w:sz w:val="22"/>
              <w:lang w:eastAsia="pt-BR"/>
            </w:rPr>
          </w:pPr>
          <w:hyperlink w:anchor="_Toc521592799" w:history="1">
            <w:r w:rsidR="00D617DD" w:rsidRPr="006E3C42">
              <w:rPr>
                <w:rStyle w:val="Hyperlink"/>
                <w:noProof/>
                <w:color w:val="auto"/>
              </w:rPr>
              <w:t>7</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CONTROLE DE RISCO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_Toc521592799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15</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800" w:history="1">
            <w:r w:rsidR="00D617DD" w:rsidRPr="006E3C42">
              <w:rPr>
                <w:rStyle w:val="Hyperlink"/>
                <w:noProof/>
                <w:color w:val="auto"/>
              </w:rPr>
              <w:t>7.1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CONTROLE DO RISCO DE MERCADO</w:t>
            </w:r>
            <w:r w:rsidR="00D617DD" w:rsidRPr="006E3C42">
              <w:rPr>
                <w:noProof/>
                <w:webHidden/>
                <w:color w:val="auto"/>
              </w:rPr>
              <w:tab/>
            </w:r>
            <w:bookmarkStart w:id="0" w:name="_GoBack"/>
            <w:bookmarkEnd w:id="0"/>
            <w:r w:rsidR="00D617DD" w:rsidRPr="006E3C42">
              <w:rPr>
                <w:noProof/>
                <w:webHidden/>
                <w:color w:val="auto"/>
              </w:rPr>
              <w:fldChar w:fldCharType="begin"/>
            </w:r>
            <w:r w:rsidR="00D617DD" w:rsidRPr="006E3C42">
              <w:rPr>
                <w:noProof/>
                <w:webHidden/>
                <w:color w:val="auto"/>
              </w:rPr>
              <w:instrText xml:space="preserve"> PAGEREF _Toc521592800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15</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801" w:history="1">
            <w:r w:rsidR="00D617DD" w:rsidRPr="006E3C42">
              <w:rPr>
                <w:rStyle w:val="Hyperlink"/>
                <w:noProof/>
                <w:color w:val="auto"/>
              </w:rPr>
              <w:t>7.2</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CONTROLE DO RISCO DE CRÉDITO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_Toc521592801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16</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802" w:history="1">
            <w:r w:rsidR="00D617DD" w:rsidRPr="006E3C42">
              <w:rPr>
                <w:rStyle w:val="Hyperlink"/>
                <w:noProof/>
                <w:color w:val="auto"/>
              </w:rPr>
              <w:t>7.3</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CONTROLE DO RISCO DE LIQUIDEZ</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_Toc521592802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16</w:t>
            </w:r>
            <w:r w:rsidR="00D617DD" w:rsidRPr="006E3C42">
              <w:rPr>
                <w:noProof/>
                <w:webHidden/>
                <w:color w:val="auto"/>
              </w:rPr>
              <w:fldChar w:fldCharType="end"/>
            </w:r>
          </w:hyperlink>
        </w:p>
        <w:p w:rsidR="00D617DD" w:rsidRPr="006E3C42" w:rsidRDefault="006E3C42">
          <w:pPr>
            <w:pStyle w:val="Sumrio1"/>
            <w:tabs>
              <w:tab w:val="left" w:pos="400"/>
              <w:tab w:val="right" w:leader="dot" w:pos="9061"/>
            </w:tabs>
            <w:rPr>
              <w:rFonts w:asciiTheme="minorHAnsi" w:eastAsiaTheme="minorEastAsia" w:hAnsiTheme="minorHAnsi"/>
              <w:noProof/>
              <w:color w:val="auto"/>
              <w:sz w:val="22"/>
              <w:lang w:eastAsia="pt-BR"/>
            </w:rPr>
          </w:pPr>
          <w:hyperlink w:anchor="_Toc521592803" w:history="1">
            <w:r w:rsidR="00D617DD" w:rsidRPr="006E3C42">
              <w:rPr>
                <w:rStyle w:val="Hyperlink"/>
                <w:noProof/>
                <w:color w:val="auto"/>
              </w:rPr>
              <w:t>8</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POLÍTICA DE TRANSPARÊNCIA</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_Toc521592803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16</w:t>
            </w:r>
            <w:r w:rsidR="00D617DD" w:rsidRPr="006E3C42">
              <w:rPr>
                <w:noProof/>
                <w:webHidden/>
                <w:color w:val="auto"/>
              </w:rPr>
              <w:fldChar w:fldCharType="end"/>
            </w:r>
          </w:hyperlink>
        </w:p>
        <w:p w:rsidR="00D617DD" w:rsidRPr="006E3C42" w:rsidRDefault="006E3C42">
          <w:pPr>
            <w:pStyle w:val="Sumrio1"/>
            <w:tabs>
              <w:tab w:val="left" w:pos="400"/>
              <w:tab w:val="right" w:leader="dot" w:pos="9061"/>
            </w:tabs>
            <w:rPr>
              <w:rFonts w:asciiTheme="minorHAnsi" w:eastAsiaTheme="minorEastAsia" w:hAnsiTheme="minorHAnsi"/>
              <w:noProof/>
              <w:color w:val="auto"/>
              <w:sz w:val="22"/>
              <w:lang w:eastAsia="pt-BR"/>
            </w:rPr>
          </w:pPr>
          <w:hyperlink w:anchor="_Toc521592804" w:history="1">
            <w:r w:rsidR="00D617DD" w:rsidRPr="006E3C42">
              <w:rPr>
                <w:rStyle w:val="Hyperlink"/>
                <w:noProof/>
                <w:color w:val="auto"/>
              </w:rPr>
              <w:t>9</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CRITÉRIOS PARA CREDENCIAMENTO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_Toc521592804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16</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805" w:history="1">
            <w:r w:rsidR="00D617DD" w:rsidRPr="006E3C42">
              <w:rPr>
                <w:rStyle w:val="Hyperlink"/>
                <w:noProof/>
                <w:color w:val="auto"/>
              </w:rPr>
              <w:t>9.1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PROCESSO DE SELEÇÃO E AVALIAÇÃO DE GESTORES/ADMINISTRADORES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_Toc521592805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17</w:t>
            </w:r>
            <w:r w:rsidR="00D617DD" w:rsidRPr="006E3C42">
              <w:rPr>
                <w:noProof/>
                <w:webHidden/>
                <w:color w:val="auto"/>
              </w:rPr>
              <w:fldChar w:fldCharType="end"/>
            </w:r>
          </w:hyperlink>
        </w:p>
        <w:p w:rsidR="00D617DD" w:rsidRPr="006E3C42" w:rsidRDefault="006E3C42">
          <w:pPr>
            <w:pStyle w:val="Sumrio1"/>
            <w:tabs>
              <w:tab w:val="left" w:pos="660"/>
              <w:tab w:val="right" w:leader="dot" w:pos="9061"/>
            </w:tabs>
            <w:rPr>
              <w:rFonts w:asciiTheme="minorHAnsi" w:eastAsiaTheme="minorEastAsia" w:hAnsiTheme="minorHAnsi"/>
              <w:noProof/>
              <w:color w:val="auto"/>
              <w:sz w:val="22"/>
              <w:lang w:eastAsia="pt-BR"/>
            </w:rPr>
          </w:pPr>
          <w:hyperlink w:anchor="_Toc521592806" w:history="1">
            <w:r w:rsidR="00D617DD" w:rsidRPr="006E3C42">
              <w:rPr>
                <w:rStyle w:val="Hyperlink"/>
                <w:noProof/>
                <w:color w:val="auto"/>
              </w:rPr>
              <w:t>10</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PRECIFICAÇÃO DE ATIVOS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_Toc521592806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17</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807" w:history="1">
            <w:r w:rsidR="00D617DD" w:rsidRPr="006E3C42">
              <w:rPr>
                <w:rStyle w:val="Hyperlink"/>
                <w:noProof/>
                <w:color w:val="auto"/>
              </w:rPr>
              <w:t>10.1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METODOLOGIA</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_Toc521592807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18</w:t>
            </w:r>
            <w:r w:rsidR="00D617DD" w:rsidRPr="006E3C42">
              <w:rPr>
                <w:noProof/>
                <w:webHidden/>
                <w:color w:val="auto"/>
              </w:rPr>
              <w:fldChar w:fldCharType="end"/>
            </w:r>
          </w:hyperlink>
        </w:p>
        <w:p w:rsidR="00D617DD" w:rsidRPr="006E3C42" w:rsidRDefault="006E3C42">
          <w:pPr>
            <w:pStyle w:val="Sumrio3"/>
            <w:tabs>
              <w:tab w:val="left" w:pos="1320"/>
              <w:tab w:val="right" w:leader="dot" w:pos="9061"/>
            </w:tabs>
            <w:rPr>
              <w:rFonts w:asciiTheme="minorHAnsi" w:eastAsiaTheme="minorEastAsia" w:hAnsiTheme="minorHAnsi"/>
              <w:noProof/>
              <w:color w:val="auto"/>
              <w:sz w:val="22"/>
              <w:lang w:eastAsia="pt-BR"/>
            </w:rPr>
          </w:pPr>
          <w:hyperlink w:anchor="_Toc521592808" w:history="1">
            <w:r w:rsidR="00D617DD" w:rsidRPr="006E3C42">
              <w:rPr>
                <w:rStyle w:val="Hyperlink"/>
                <w:noProof/>
                <w:color w:val="auto"/>
              </w:rPr>
              <w:t>10.1.1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MARCAÇÕES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_Toc521592808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18</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809" w:history="1">
            <w:r w:rsidR="00D617DD" w:rsidRPr="006E3C42">
              <w:rPr>
                <w:rStyle w:val="Hyperlink"/>
                <w:noProof/>
                <w:color w:val="auto"/>
              </w:rPr>
              <w:t>10.2</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CRITÉRIOS DE PRECIFICAÇÃO</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_Toc521592809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18</w:t>
            </w:r>
            <w:r w:rsidR="00D617DD" w:rsidRPr="006E3C42">
              <w:rPr>
                <w:noProof/>
                <w:webHidden/>
                <w:color w:val="auto"/>
              </w:rPr>
              <w:fldChar w:fldCharType="end"/>
            </w:r>
          </w:hyperlink>
        </w:p>
        <w:p w:rsidR="00D617DD" w:rsidRPr="006E3C42" w:rsidRDefault="006E3C42">
          <w:pPr>
            <w:pStyle w:val="Sumrio3"/>
            <w:tabs>
              <w:tab w:val="left" w:pos="1320"/>
              <w:tab w:val="right" w:leader="dot" w:pos="9061"/>
            </w:tabs>
            <w:rPr>
              <w:rFonts w:asciiTheme="minorHAnsi" w:eastAsiaTheme="minorEastAsia" w:hAnsiTheme="minorHAnsi"/>
              <w:noProof/>
              <w:color w:val="auto"/>
              <w:sz w:val="22"/>
              <w:lang w:eastAsia="pt-BR"/>
            </w:rPr>
          </w:pPr>
          <w:hyperlink w:anchor="_Toc521592810" w:history="1">
            <w:r w:rsidR="00D617DD" w:rsidRPr="006E3C42">
              <w:rPr>
                <w:rStyle w:val="Hyperlink"/>
                <w:noProof/>
                <w:color w:val="auto"/>
              </w:rPr>
              <w:t>10.2.1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TÍTULOS PÚBLICOS FEDERAIS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_Toc521592810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18</w:t>
            </w:r>
            <w:r w:rsidR="00D617DD" w:rsidRPr="006E3C42">
              <w:rPr>
                <w:noProof/>
                <w:webHidden/>
                <w:color w:val="auto"/>
              </w:rPr>
              <w:fldChar w:fldCharType="end"/>
            </w:r>
          </w:hyperlink>
        </w:p>
        <w:p w:rsidR="00D617DD" w:rsidRPr="006E3C42" w:rsidRDefault="006E3C42">
          <w:pPr>
            <w:pStyle w:val="Sumrio3"/>
            <w:tabs>
              <w:tab w:val="left" w:pos="1320"/>
              <w:tab w:val="right" w:leader="dot" w:pos="9061"/>
            </w:tabs>
            <w:rPr>
              <w:rFonts w:asciiTheme="minorHAnsi" w:eastAsiaTheme="minorEastAsia" w:hAnsiTheme="minorHAnsi"/>
              <w:noProof/>
              <w:color w:val="auto"/>
              <w:sz w:val="22"/>
              <w:lang w:eastAsia="pt-BR"/>
            </w:rPr>
          </w:pPr>
          <w:hyperlink w:anchor="_Toc521592811" w:history="1">
            <w:r w:rsidR="00D617DD" w:rsidRPr="006E3C42">
              <w:rPr>
                <w:rStyle w:val="Hyperlink"/>
                <w:noProof/>
                <w:color w:val="auto"/>
              </w:rPr>
              <w:t>10.2.2</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FUNDOS DE INVESTIMENTOS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_Toc521592811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20</w:t>
            </w:r>
            <w:r w:rsidR="00D617DD" w:rsidRPr="006E3C42">
              <w:rPr>
                <w:noProof/>
                <w:webHidden/>
                <w:color w:val="auto"/>
              </w:rPr>
              <w:fldChar w:fldCharType="end"/>
            </w:r>
          </w:hyperlink>
        </w:p>
        <w:p w:rsidR="00D617DD" w:rsidRPr="006E3C42" w:rsidRDefault="006E3C42">
          <w:pPr>
            <w:pStyle w:val="Sumrio3"/>
            <w:tabs>
              <w:tab w:val="left" w:pos="1320"/>
              <w:tab w:val="right" w:leader="dot" w:pos="9061"/>
            </w:tabs>
            <w:rPr>
              <w:rFonts w:asciiTheme="minorHAnsi" w:eastAsiaTheme="minorEastAsia" w:hAnsiTheme="minorHAnsi"/>
              <w:noProof/>
              <w:color w:val="auto"/>
              <w:sz w:val="22"/>
              <w:lang w:eastAsia="pt-BR"/>
            </w:rPr>
          </w:pPr>
          <w:hyperlink w:anchor="_Toc521592812" w:history="1">
            <w:r w:rsidR="00D617DD" w:rsidRPr="006E3C42">
              <w:rPr>
                <w:rStyle w:val="Hyperlink"/>
                <w:noProof/>
                <w:color w:val="auto"/>
              </w:rPr>
              <w:t>10.2.3</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TÍTULOS PRIVADOS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_Toc521592812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21</w:t>
            </w:r>
            <w:r w:rsidR="00D617DD" w:rsidRPr="006E3C42">
              <w:rPr>
                <w:noProof/>
                <w:webHidden/>
                <w:color w:val="auto"/>
              </w:rPr>
              <w:fldChar w:fldCharType="end"/>
            </w:r>
          </w:hyperlink>
        </w:p>
        <w:p w:rsidR="00D617DD" w:rsidRPr="006E3C42" w:rsidRDefault="006E3C42">
          <w:pPr>
            <w:pStyle w:val="Sumrio3"/>
            <w:tabs>
              <w:tab w:val="left" w:pos="1320"/>
              <w:tab w:val="right" w:leader="dot" w:pos="9061"/>
            </w:tabs>
            <w:rPr>
              <w:rFonts w:asciiTheme="minorHAnsi" w:eastAsiaTheme="minorEastAsia" w:hAnsiTheme="minorHAnsi"/>
              <w:noProof/>
              <w:color w:val="auto"/>
              <w:sz w:val="22"/>
              <w:lang w:eastAsia="pt-BR"/>
            </w:rPr>
          </w:pPr>
          <w:hyperlink w:anchor="_Toc521592813" w:history="1">
            <w:r w:rsidR="00D617DD" w:rsidRPr="006E3C42">
              <w:rPr>
                <w:rStyle w:val="Hyperlink"/>
                <w:noProof/>
                <w:color w:val="auto"/>
              </w:rPr>
              <w:t>10.2.4</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POUPANÇA</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_Toc521592813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22</w:t>
            </w:r>
            <w:r w:rsidR="00D617DD" w:rsidRPr="006E3C42">
              <w:rPr>
                <w:noProof/>
                <w:webHidden/>
                <w:color w:val="auto"/>
              </w:rPr>
              <w:fldChar w:fldCharType="end"/>
            </w:r>
          </w:hyperlink>
        </w:p>
        <w:p w:rsidR="00D617DD" w:rsidRPr="006E3C42" w:rsidRDefault="006E3C42">
          <w:pPr>
            <w:pStyle w:val="Sumrio2"/>
            <w:tabs>
              <w:tab w:val="left" w:pos="880"/>
              <w:tab w:val="right" w:leader="dot" w:pos="9061"/>
            </w:tabs>
            <w:rPr>
              <w:rFonts w:asciiTheme="minorHAnsi" w:eastAsiaTheme="minorEastAsia" w:hAnsiTheme="minorHAnsi"/>
              <w:noProof/>
              <w:color w:val="auto"/>
              <w:sz w:val="22"/>
              <w:lang w:eastAsia="pt-BR"/>
            </w:rPr>
          </w:pPr>
          <w:hyperlink w:anchor="_Toc521592814" w:history="1">
            <w:r w:rsidR="00D617DD" w:rsidRPr="006E3C42">
              <w:rPr>
                <w:rStyle w:val="Hyperlink"/>
                <w:noProof/>
                <w:color w:val="auto"/>
              </w:rPr>
              <w:t>10.3</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FONTES PRIMÁRIAS DE INFORMAÇÕES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_Toc521592814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22</w:t>
            </w:r>
            <w:r w:rsidR="00D617DD" w:rsidRPr="006E3C42">
              <w:rPr>
                <w:noProof/>
                <w:webHidden/>
                <w:color w:val="auto"/>
              </w:rPr>
              <w:fldChar w:fldCharType="end"/>
            </w:r>
          </w:hyperlink>
        </w:p>
        <w:p w:rsidR="00D617DD" w:rsidRPr="006E3C42" w:rsidRDefault="006E3C42">
          <w:pPr>
            <w:pStyle w:val="Sumrio1"/>
            <w:tabs>
              <w:tab w:val="left" w:pos="660"/>
              <w:tab w:val="right" w:leader="dot" w:pos="9061"/>
            </w:tabs>
            <w:rPr>
              <w:rFonts w:asciiTheme="minorHAnsi" w:eastAsiaTheme="minorEastAsia" w:hAnsiTheme="minorHAnsi"/>
              <w:noProof/>
              <w:color w:val="auto"/>
              <w:sz w:val="22"/>
              <w:lang w:eastAsia="pt-BR"/>
            </w:rPr>
          </w:pPr>
          <w:hyperlink w:anchor="_Toc521592815" w:history="1">
            <w:r w:rsidR="00D617DD" w:rsidRPr="006E3C42">
              <w:rPr>
                <w:rStyle w:val="Hyperlink"/>
                <w:noProof/>
                <w:color w:val="auto"/>
              </w:rPr>
              <w:t>11</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CONTROLES INTERNOS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_Toc521592815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22</w:t>
            </w:r>
            <w:r w:rsidR="00D617DD" w:rsidRPr="006E3C42">
              <w:rPr>
                <w:noProof/>
                <w:webHidden/>
                <w:color w:val="auto"/>
              </w:rPr>
              <w:fldChar w:fldCharType="end"/>
            </w:r>
          </w:hyperlink>
        </w:p>
        <w:p w:rsidR="00D617DD" w:rsidRPr="006E3C42" w:rsidRDefault="006E3C42">
          <w:pPr>
            <w:pStyle w:val="Sumrio1"/>
            <w:tabs>
              <w:tab w:val="left" w:pos="660"/>
              <w:tab w:val="right" w:leader="dot" w:pos="9061"/>
            </w:tabs>
            <w:rPr>
              <w:rFonts w:asciiTheme="minorHAnsi" w:eastAsiaTheme="minorEastAsia" w:hAnsiTheme="minorHAnsi"/>
              <w:noProof/>
              <w:color w:val="auto"/>
              <w:sz w:val="22"/>
              <w:lang w:eastAsia="pt-BR"/>
            </w:rPr>
          </w:pPr>
          <w:hyperlink w:anchor="_Toc521592816" w:history="1">
            <w:r w:rsidR="00D617DD" w:rsidRPr="006E3C42">
              <w:rPr>
                <w:rStyle w:val="Hyperlink"/>
                <w:noProof/>
                <w:color w:val="auto"/>
              </w:rPr>
              <w:t>12</w:t>
            </w:r>
            <w:r w:rsidR="00D617DD" w:rsidRPr="006E3C42">
              <w:rPr>
                <w:rFonts w:asciiTheme="minorHAnsi" w:eastAsiaTheme="minorEastAsia" w:hAnsiTheme="minorHAnsi"/>
                <w:noProof/>
                <w:color w:val="auto"/>
                <w:sz w:val="22"/>
                <w:lang w:eastAsia="pt-BR"/>
              </w:rPr>
              <w:tab/>
            </w:r>
            <w:r w:rsidR="00D617DD" w:rsidRPr="006E3C42">
              <w:rPr>
                <w:rStyle w:val="Hyperlink"/>
                <w:noProof/>
                <w:color w:val="auto"/>
              </w:rPr>
              <w:t>DISPOSIÇÕES GERAIS</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_Toc521592816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24</w:t>
            </w:r>
            <w:r w:rsidR="00D617DD" w:rsidRPr="006E3C42">
              <w:rPr>
                <w:noProof/>
                <w:webHidden/>
                <w:color w:val="auto"/>
              </w:rPr>
              <w:fldChar w:fldCharType="end"/>
            </w:r>
          </w:hyperlink>
        </w:p>
        <w:p w:rsidR="00D617DD" w:rsidRPr="006E3C42" w:rsidRDefault="006E3C42">
          <w:pPr>
            <w:pStyle w:val="Sumrio1"/>
            <w:tabs>
              <w:tab w:val="right" w:leader="dot" w:pos="9061"/>
            </w:tabs>
            <w:rPr>
              <w:rFonts w:asciiTheme="minorHAnsi" w:eastAsiaTheme="minorEastAsia" w:hAnsiTheme="minorHAnsi"/>
              <w:noProof/>
              <w:color w:val="auto"/>
              <w:sz w:val="22"/>
              <w:lang w:eastAsia="pt-BR"/>
            </w:rPr>
          </w:pPr>
          <w:hyperlink w:anchor="_Toc521592817" w:history="1">
            <w:r w:rsidR="00D617DD" w:rsidRPr="006E3C42">
              <w:rPr>
                <w:rStyle w:val="Hyperlink"/>
                <w:noProof/>
                <w:color w:val="auto"/>
              </w:rPr>
              <w:t>DISCLAIMER</w:t>
            </w:r>
            <w:r w:rsidR="00D617DD" w:rsidRPr="006E3C42">
              <w:rPr>
                <w:noProof/>
                <w:webHidden/>
                <w:color w:val="auto"/>
              </w:rPr>
              <w:tab/>
            </w:r>
            <w:r w:rsidR="00D617DD" w:rsidRPr="006E3C42">
              <w:rPr>
                <w:noProof/>
                <w:webHidden/>
                <w:color w:val="auto"/>
              </w:rPr>
              <w:fldChar w:fldCharType="begin"/>
            </w:r>
            <w:r w:rsidR="00D617DD" w:rsidRPr="006E3C42">
              <w:rPr>
                <w:noProof/>
                <w:webHidden/>
                <w:color w:val="auto"/>
              </w:rPr>
              <w:instrText xml:space="preserve"> PAGEREF _Toc521592817 \h </w:instrText>
            </w:r>
            <w:r w:rsidR="00D617DD" w:rsidRPr="006E3C42">
              <w:rPr>
                <w:noProof/>
                <w:webHidden/>
                <w:color w:val="auto"/>
              </w:rPr>
            </w:r>
            <w:r w:rsidR="00D617DD" w:rsidRPr="006E3C42">
              <w:rPr>
                <w:noProof/>
                <w:webHidden/>
                <w:color w:val="auto"/>
              </w:rPr>
              <w:fldChar w:fldCharType="separate"/>
            </w:r>
            <w:r w:rsidR="00AB4A70" w:rsidRPr="006E3C42">
              <w:rPr>
                <w:noProof/>
                <w:webHidden/>
                <w:color w:val="auto"/>
              </w:rPr>
              <w:t>25</w:t>
            </w:r>
            <w:r w:rsidR="00D617DD" w:rsidRPr="006E3C42">
              <w:rPr>
                <w:noProof/>
                <w:webHidden/>
                <w:color w:val="auto"/>
              </w:rPr>
              <w:fldChar w:fldCharType="end"/>
            </w:r>
          </w:hyperlink>
        </w:p>
        <w:p w:rsidR="00CC3E23" w:rsidRPr="006E3C42" w:rsidRDefault="00CC3E23" w:rsidP="00B137CF">
          <w:pPr>
            <w:spacing w:beforeLines="120" w:before="288" w:after="0" w:line="240" w:lineRule="auto"/>
            <w:rPr>
              <w:bCs/>
              <w:color w:val="auto"/>
            </w:rPr>
          </w:pPr>
          <w:r w:rsidRPr="006E3C42">
            <w:rPr>
              <w:bCs/>
              <w:color w:val="auto"/>
              <w:sz w:val="16"/>
            </w:rPr>
            <w:fldChar w:fldCharType="end"/>
          </w:r>
          <w:r w:rsidR="002F635C" w:rsidRPr="006E3C42">
            <w:rPr>
              <w:bCs/>
              <w:color w:val="auto"/>
            </w:rPr>
            <w:br w:type="page"/>
          </w:r>
        </w:p>
      </w:sdtContent>
    </w:sdt>
    <w:p w:rsidR="00CB1E8E" w:rsidRPr="006E3C42" w:rsidRDefault="00CB1E8E" w:rsidP="007B1153">
      <w:pPr>
        <w:pStyle w:val="Ttulo1"/>
        <w:rPr>
          <w:color w:val="auto"/>
        </w:rPr>
      </w:pPr>
      <w:bookmarkStart w:id="1" w:name="_Toc435202736"/>
      <w:bookmarkStart w:id="2" w:name="_Toc521592781"/>
      <w:r w:rsidRPr="006E3C42">
        <w:rPr>
          <w:color w:val="auto"/>
        </w:rPr>
        <w:lastRenderedPageBreak/>
        <w:t>INTRODUÇÃO</w:t>
      </w:r>
      <w:bookmarkEnd w:id="1"/>
      <w:bookmarkEnd w:id="2"/>
    </w:p>
    <w:p w:rsidR="006B0FB7" w:rsidRPr="006E3C42" w:rsidRDefault="006B0FB7" w:rsidP="006B0FB7">
      <w:pPr>
        <w:spacing w:beforeLines="120" w:before="288" w:after="0" w:line="240" w:lineRule="auto"/>
        <w:rPr>
          <w:bCs/>
          <w:color w:val="auto"/>
          <w:szCs w:val="20"/>
        </w:rPr>
      </w:pPr>
      <w:r w:rsidRPr="006E3C42">
        <w:rPr>
          <w:bCs/>
          <w:color w:val="auto"/>
          <w:szCs w:val="20"/>
        </w:rPr>
        <w:t>Atendendo à Resolução do Conselho Monetário Nacional - CMN nº 3.922, de 25 de novembro de 2010, alterada pela Resolução CMN n° 4.392, de 19 de dezembro de 2014</w:t>
      </w:r>
      <w:r w:rsidR="00C22A8E" w:rsidRPr="006E3C42">
        <w:rPr>
          <w:bCs/>
          <w:color w:val="auto"/>
          <w:szCs w:val="20"/>
        </w:rPr>
        <w:t xml:space="preserve"> e </w:t>
      </w:r>
      <w:r w:rsidR="00CB3977" w:rsidRPr="006E3C42">
        <w:rPr>
          <w:bCs/>
          <w:color w:val="auto"/>
          <w:szCs w:val="20"/>
        </w:rPr>
        <w:t xml:space="preserve">posteriormente </w:t>
      </w:r>
      <w:r w:rsidR="00C22A8E" w:rsidRPr="006E3C42">
        <w:rPr>
          <w:bCs/>
          <w:color w:val="auto"/>
          <w:szCs w:val="20"/>
        </w:rPr>
        <w:t>pela Resolução CMN n° 4.604, de 19 de outubro de 2017</w:t>
      </w:r>
      <w:r w:rsidRPr="006E3C42">
        <w:rPr>
          <w:bCs/>
          <w:color w:val="auto"/>
          <w:szCs w:val="20"/>
        </w:rPr>
        <w:t xml:space="preserve">, doravante denominada simplesmente “Resolução CMN nº 3.922/2010”, o Comitê de Investimentos </w:t>
      </w:r>
      <w:r w:rsidR="00C22A8E" w:rsidRPr="006E3C42">
        <w:rPr>
          <w:bCs/>
          <w:color w:val="auto"/>
          <w:szCs w:val="20"/>
        </w:rPr>
        <w:t>e a Diretoria Executiva</w:t>
      </w:r>
      <w:r w:rsidRPr="006E3C42">
        <w:rPr>
          <w:bCs/>
          <w:color w:val="auto"/>
          <w:szCs w:val="20"/>
        </w:rPr>
        <w:t xml:space="preserve"> do </w:t>
      </w:r>
      <w:r w:rsidR="00AF522C" w:rsidRPr="006E3C42">
        <w:rPr>
          <w:b/>
          <w:bCs/>
          <w:color w:val="auto"/>
          <w:szCs w:val="20"/>
        </w:rPr>
        <w:t>INSTITUTO DE PREVIDÊNCIA DOS SERVIDORES PÚBLICOS DO MUNICÍPIO DE BOM JESUS DOS PERDÕES</w:t>
      </w:r>
      <w:r w:rsidRPr="006E3C42">
        <w:rPr>
          <w:bCs/>
          <w:color w:val="auto"/>
          <w:szCs w:val="20"/>
        </w:rPr>
        <w:t xml:space="preserve">, apresenta sua Política de Investimentos para o exercício de </w:t>
      </w:r>
      <w:r w:rsidR="00CB3977" w:rsidRPr="006E3C42">
        <w:rPr>
          <w:bCs/>
          <w:color w:val="auto"/>
          <w:szCs w:val="20"/>
        </w:rPr>
        <w:t>2019</w:t>
      </w:r>
      <w:r w:rsidRPr="006E3C42">
        <w:rPr>
          <w:bCs/>
          <w:color w:val="auto"/>
          <w:szCs w:val="20"/>
        </w:rPr>
        <w:t>, aprovada por seu órgão superior competente.</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A elaboração da Política de Investimentos representa uma formalidade legal que fundamenta e norteia todos os processos de tomada de decisões relativo aos investimentos </w:t>
      </w:r>
      <w:r w:rsidR="00C22A8E" w:rsidRPr="006E3C42">
        <w:rPr>
          <w:bCs/>
          <w:color w:val="auto"/>
          <w:szCs w:val="20"/>
        </w:rPr>
        <w:t>do</w:t>
      </w:r>
      <w:r w:rsidRPr="006E3C42">
        <w:rPr>
          <w:bCs/>
          <w:color w:val="auto"/>
          <w:szCs w:val="20"/>
        </w:rPr>
        <w:t xml:space="preserve"> Regimes Próprios de Previdência Social – </w:t>
      </w:r>
      <w:r w:rsidR="00C22A8E" w:rsidRPr="006E3C42">
        <w:rPr>
          <w:bCs/>
          <w:color w:val="auto"/>
          <w:szCs w:val="20"/>
        </w:rPr>
        <w:t>RPPS</w:t>
      </w:r>
      <w:r w:rsidRPr="006E3C42">
        <w:rPr>
          <w:bCs/>
          <w:color w:val="auto"/>
          <w:szCs w:val="20"/>
        </w:rPr>
        <w:t>, empregada como instrumento necessário para garantir a consistência da gestão dos recursos em busca do equilíbrio econômico-financeiro.</w:t>
      </w:r>
    </w:p>
    <w:p w:rsidR="002F635C" w:rsidRPr="006E3C42" w:rsidRDefault="006B0FB7" w:rsidP="00226B7B">
      <w:pPr>
        <w:spacing w:beforeLines="120" w:before="288" w:after="0" w:line="240" w:lineRule="auto"/>
        <w:rPr>
          <w:bCs/>
          <w:color w:val="auto"/>
          <w:szCs w:val="20"/>
        </w:rPr>
      </w:pPr>
      <w:r w:rsidRPr="006E3C42">
        <w:rPr>
          <w:bCs/>
          <w:color w:val="auto"/>
          <w:szCs w:val="20"/>
        </w:rPr>
        <w:t>Os fundamentos para a elaboração da presente Política de Investimentos estão centrados em critérios técnicos de grande relevância. Ressalta-se que o principal a ser observado, para que se trabalhe com parâmetros sólidos, é aquele referente à análise do fluxo de caixa atuarial da entidade, ou seja, o equilíbrio entre ativo e passivo, levando-se em consideração as reservas técnicas atuariais (ativos) e as reservas matemáticas (passivo) projetadas pelo cálculo atuarial.</w:t>
      </w:r>
    </w:p>
    <w:p w:rsidR="006B0FB7" w:rsidRPr="006E3C42" w:rsidRDefault="006B0FB7" w:rsidP="006B0FB7">
      <w:pPr>
        <w:pStyle w:val="Ttulo1"/>
        <w:rPr>
          <w:color w:val="auto"/>
        </w:rPr>
      </w:pPr>
      <w:bookmarkStart w:id="3" w:name="_Toc435202737"/>
      <w:bookmarkStart w:id="4" w:name="_Toc490036539"/>
      <w:bookmarkStart w:id="5" w:name="_Toc521592782"/>
      <w:r w:rsidRPr="006E3C42">
        <w:rPr>
          <w:color w:val="auto"/>
        </w:rPr>
        <w:t>OBJETIVO</w:t>
      </w:r>
      <w:bookmarkEnd w:id="3"/>
      <w:bookmarkEnd w:id="4"/>
      <w:bookmarkEnd w:id="5"/>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A Política de Investimentos do </w:t>
      </w:r>
      <w:r w:rsidR="00AF522C" w:rsidRPr="006E3C42">
        <w:rPr>
          <w:b/>
          <w:bCs/>
          <w:color w:val="auto"/>
          <w:szCs w:val="20"/>
        </w:rPr>
        <w:t>INSTITUTO DE PREVIDÊNCIA DOS SERVIDORES PÚBLICOS DO MUNICÍPIO DE BOM JESUS DOS PERDÕES</w:t>
      </w:r>
      <w:r w:rsidRPr="006E3C42">
        <w:rPr>
          <w:bCs/>
          <w:color w:val="auto"/>
          <w:szCs w:val="20"/>
        </w:rPr>
        <w:t xml:space="preserve"> tem como objetivo estabelecer as diretrizes das aplicações dos recursos garantidores dos pagamentos dos segurados e beneficiários do regime, visando atingir a meta atuarial definida para garantir a manutenção do seu equilíbrio econômico-financeiro e atuarial, tendo sempre presentes os princípios da boa governança, da segurança, rentabilidade, solvência, liquidez</w:t>
      </w:r>
      <w:r w:rsidR="00C22A8E" w:rsidRPr="006E3C42">
        <w:rPr>
          <w:bCs/>
          <w:color w:val="auto"/>
          <w:szCs w:val="20"/>
        </w:rPr>
        <w:t>, motivação, adequação à natureza de suas obrigações</w:t>
      </w:r>
      <w:r w:rsidRPr="006E3C42">
        <w:rPr>
          <w:bCs/>
          <w:color w:val="auto"/>
          <w:szCs w:val="20"/>
        </w:rPr>
        <w:t xml:space="preserve"> e transparência.</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A Política de Investimentos tem ainda, como objetivo específico, zelar pela eficiência na condução das operações relativas às aplicações dos recursos, buscando alocar os investimentos em instituições que possuam as seguintes características: </w:t>
      </w:r>
      <w:r w:rsidRPr="006E3C42">
        <w:rPr>
          <w:b/>
          <w:bCs/>
          <w:color w:val="auto"/>
          <w:szCs w:val="20"/>
        </w:rPr>
        <w:t>solidez patrimonial, experiência positiva no exercício da atividade de administração e gestão de grandes volumes de recursos e em ativos com adequada relação risco X retorno</w:t>
      </w:r>
      <w:r w:rsidRPr="006E3C42">
        <w:rPr>
          <w:bCs/>
          <w:color w:val="auto"/>
          <w:szCs w:val="20"/>
        </w:rPr>
        <w:t>.</w:t>
      </w:r>
    </w:p>
    <w:p w:rsidR="006B0FB7" w:rsidRPr="006E3C42" w:rsidRDefault="006B0FB7" w:rsidP="006B0FB7">
      <w:pPr>
        <w:spacing w:beforeLines="120" w:before="288" w:after="0" w:line="240" w:lineRule="auto"/>
        <w:rPr>
          <w:bCs/>
          <w:color w:val="auto"/>
          <w:szCs w:val="20"/>
        </w:rPr>
      </w:pPr>
      <w:r w:rsidRPr="006E3C42">
        <w:rPr>
          <w:bCs/>
          <w:color w:val="auto"/>
          <w:szCs w:val="20"/>
        </w:rPr>
        <w:t>Para cumprimento do objetivo específico e considerando as perspectivas do cenário econômico, a política estabelecerá a modalidade e os limites legais e operacionais, buscando a mais adequada alocação dos ativos, à vista do perfil do passivo no curto, médio e longo prazo, atendendo aos requisitos da Resolução CMN nº 3.922/2010.</w:t>
      </w:r>
    </w:p>
    <w:p w:rsidR="002F635C" w:rsidRPr="006E3C42" w:rsidRDefault="007A1C3A" w:rsidP="00226B7B">
      <w:pPr>
        <w:spacing w:beforeLines="120" w:before="288" w:after="0" w:line="240" w:lineRule="auto"/>
        <w:rPr>
          <w:bCs/>
          <w:color w:val="auto"/>
          <w:szCs w:val="20"/>
        </w:rPr>
      </w:pPr>
      <w:r w:rsidRPr="006E3C42">
        <w:rPr>
          <w:bCs/>
          <w:color w:val="auto"/>
          <w:szCs w:val="20"/>
        </w:rPr>
        <w:t xml:space="preserve">Os responsáveis pela gestão do </w:t>
      </w:r>
      <w:r w:rsidR="00AF522C" w:rsidRPr="006E3C42">
        <w:rPr>
          <w:b/>
          <w:bCs/>
          <w:color w:val="auto"/>
          <w:szCs w:val="20"/>
        </w:rPr>
        <w:t>INSTITUTO DE PREVIDÊNCIA DOS SERVIDORES PÚBLICOS DO MUNICÍPIO DE BOM JESUS DOS PERDÕES</w:t>
      </w:r>
      <w:r w:rsidRPr="006E3C42">
        <w:rPr>
          <w:bCs/>
          <w:color w:val="auto"/>
          <w:szCs w:val="20"/>
        </w:rPr>
        <w:t xml:space="preserve"> têm como objetividade a contínua busca pela ciência do conhecimento técnico, exercendo suas atividades com boa fé, legalidade e diligência; zelando pelos elevados padrões éticos, adotando as melhores práticas que visem garantir o cumprimento de suas obrigações.</w:t>
      </w:r>
    </w:p>
    <w:p w:rsidR="002F426A" w:rsidRPr="006E3C42" w:rsidRDefault="006B0FB7" w:rsidP="002F426A">
      <w:pPr>
        <w:pStyle w:val="Ttulo1"/>
        <w:spacing w:after="240"/>
        <w:rPr>
          <w:color w:val="auto"/>
        </w:rPr>
      </w:pPr>
      <w:bookmarkStart w:id="6" w:name="_Toc435202738"/>
      <w:bookmarkStart w:id="7" w:name="_Toc521592783"/>
      <w:bookmarkStart w:id="8" w:name="_Toc490036540"/>
      <w:r w:rsidRPr="006E3C42">
        <w:rPr>
          <w:color w:val="auto"/>
        </w:rPr>
        <w:t>CENÁRIO ECONÔMICO</w:t>
      </w:r>
      <w:bookmarkStart w:id="9" w:name="_Toc435202739"/>
      <w:bookmarkEnd w:id="6"/>
      <w:bookmarkEnd w:id="7"/>
    </w:p>
    <w:p w:rsidR="006B0FB7" w:rsidRPr="006E3C42" w:rsidRDefault="006B0FB7" w:rsidP="00226B7B">
      <w:pPr>
        <w:pStyle w:val="Ttulo2"/>
        <w:rPr>
          <w:color w:val="auto"/>
        </w:rPr>
      </w:pPr>
      <w:bookmarkStart w:id="10" w:name="_Toc490036541"/>
      <w:bookmarkStart w:id="11" w:name="_Toc521592784"/>
      <w:bookmarkEnd w:id="8"/>
      <w:bookmarkEnd w:id="9"/>
      <w:r w:rsidRPr="006E3C42">
        <w:rPr>
          <w:color w:val="auto"/>
        </w:rPr>
        <w:t>INTERNACIONAL</w:t>
      </w:r>
      <w:bookmarkEnd w:id="10"/>
      <w:bookmarkEnd w:id="11"/>
      <w:r w:rsidR="00D715F1" w:rsidRPr="006E3C42">
        <w:rPr>
          <w:color w:val="auto"/>
        </w:rPr>
        <w:t xml:space="preserve"> – 1° SEMESTRE 2018</w:t>
      </w:r>
    </w:p>
    <w:p w:rsidR="00E55F9A" w:rsidRPr="006E3C42" w:rsidRDefault="00E55F9A" w:rsidP="00E55F9A">
      <w:pPr>
        <w:spacing w:after="0"/>
        <w:rPr>
          <w:b/>
          <w:color w:val="auto"/>
        </w:rPr>
      </w:pPr>
      <w:r w:rsidRPr="006E3C42">
        <w:rPr>
          <w:b/>
          <w:color w:val="auto"/>
        </w:rPr>
        <w:t>EUROPA</w:t>
      </w:r>
    </w:p>
    <w:p w:rsidR="00E55F9A" w:rsidRPr="006E3C42" w:rsidRDefault="00E55F9A" w:rsidP="00E55F9A">
      <w:pPr>
        <w:rPr>
          <w:color w:val="auto"/>
        </w:rPr>
      </w:pPr>
      <w:r w:rsidRPr="006E3C42">
        <w:rPr>
          <w:color w:val="auto"/>
        </w:rPr>
        <w:t xml:space="preserve">De acordo com a agência europeia de estatísticas, </w:t>
      </w:r>
      <w:proofErr w:type="spellStart"/>
      <w:r w:rsidRPr="006E3C42">
        <w:rPr>
          <w:i/>
          <w:color w:val="auto"/>
        </w:rPr>
        <w:t>Eurostat</w:t>
      </w:r>
      <w:proofErr w:type="spellEnd"/>
      <w:r w:rsidRPr="006E3C42">
        <w:rPr>
          <w:color w:val="auto"/>
        </w:rPr>
        <w:t>, a economia da zona do euro, composta por 19 países, evoluiu 0,4% no primeiro trimestre de 2018, em relação ao anterior, em que havia crescido 0,7% e 2,5% na comparação anual. A expansão trimestral foi mais lenta, por conta da redução do comércio exterior, tendo sido sustentada pelo consumo e pelos investimentos.</w:t>
      </w:r>
    </w:p>
    <w:p w:rsidR="00E55F9A" w:rsidRPr="006E3C42" w:rsidRDefault="00E55F9A" w:rsidP="00E55F9A">
      <w:pPr>
        <w:rPr>
          <w:color w:val="auto"/>
        </w:rPr>
      </w:pPr>
      <w:r w:rsidRPr="006E3C42">
        <w:rPr>
          <w:color w:val="auto"/>
        </w:rPr>
        <w:t xml:space="preserve">Entre as economias mais importantes do bloco econômico, a da Alemanha cresceu 0,3%, na base trimestral e 2,3% na anual, a da França 0,2% e 2,2%, a da Itália 0,3% e 1,4% e da Espanha 0,7% e 3%, respectivamente. Já a </w:t>
      </w:r>
      <w:r w:rsidRPr="006E3C42">
        <w:rPr>
          <w:color w:val="auto"/>
        </w:rPr>
        <w:lastRenderedPageBreak/>
        <w:t>economia do Reino Unido, membro da União Europeia – UE cresceu 0,2% no primeiro trimestre, em relação ao anterior e 1,2% na comparação anual.</w:t>
      </w:r>
    </w:p>
    <w:p w:rsidR="00E55F9A" w:rsidRPr="006E3C42" w:rsidRDefault="00E55F9A" w:rsidP="00E55F9A">
      <w:pPr>
        <w:rPr>
          <w:color w:val="auto"/>
        </w:rPr>
      </w:pPr>
      <w:r w:rsidRPr="006E3C42">
        <w:rPr>
          <w:color w:val="auto"/>
        </w:rPr>
        <w:t>Quanto ao desemprego na zona do euro, a taxa ficou em 8,4% em maio. Na Alemanha ele foi de 3,4% nesse mês, nova mínima histórica e na Espanha 16,55% em março.</w:t>
      </w:r>
    </w:p>
    <w:p w:rsidR="00E55F9A" w:rsidRPr="006E3C42" w:rsidRDefault="00E55F9A" w:rsidP="00E55F9A">
      <w:pPr>
        <w:rPr>
          <w:color w:val="auto"/>
        </w:rPr>
      </w:pPr>
      <w:r w:rsidRPr="006E3C42">
        <w:rPr>
          <w:color w:val="auto"/>
        </w:rPr>
        <w:t>Em junho, os preços ao consumidor tiveram alta de 2% na base anual, ganhando força em relação ao aumento de 1,9% em maio e chegando à meta de 2%, do Banco Central Europeu – BCE, que em sua reunião em meados de junho manteve a taxa básica de juros em 0% e a de depósitos bancários em -0,4%. No comunicado afirmou que não pretende elevar os juros até pelo menos o verão de 2019 e informou que o seu programa de estímulos quantitativos seguirá em € 30 bilhões até setembro e que entre outubro e dezembro será reduzido para € 15 bilhões mensais, quando será então encerrado.</w:t>
      </w:r>
    </w:p>
    <w:p w:rsidR="00E55F9A" w:rsidRPr="006E3C42" w:rsidRDefault="00E55F9A" w:rsidP="00E55F9A">
      <w:pPr>
        <w:spacing w:after="0"/>
        <w:rPr>
          <w:b/>
          <w:color w:val="auto"/>
        </w:rPr>
      </w:pPr>
      <w:r w:rsidRPr="006E3C42">
        <w:rPr>
          <w:b/>
          <w:color w:val="auto"/>
        </w:rPr>
        <w:t>EUA</w:t>
      </w:r>
    </w:p>
    <w:p w:rsidR="00E55F9A" w:rsidRPr="006E3C42" w:rsidRDefault="00E55F9A" w:rsidP="00E55F9A">
      <w:pPr>
        <w:rPr>
          <w:color w:val="auto"/>
        </w:rPr>
      </w:pPr>
      <w:r w:rsidRPr="006E3C42">
        <w:rPr>
          <w:color w:val="auto"/>
        </w:rPr>
        <w:t xml:space="preserve">Foi de 2% o crescimento anualizado da economia americana no primeiro trimestre de 2018. O número veio abaixo do previsto pelos analistas, já que os consumidores gastaram menos em serviços e também se viu menos investimentos privados, principalmente em estoques do comércio varejista. </w:t>
      </w:r>
    </w:p>
    <w:p w:rsidR="00E55F9A" w:rsidRPr="006E3C42" w:rsidRDefault="00E55F9A" w:rsidP="00E55F9A">
      <w:pPr>
        <w:rPr>
          <w:color w:val="auto"/>
        </w:rPr>
      </w:pPr>
      <w:r w:rsidRPr="006E3C42">
        <w:rPr>
          <w:color w:val="auto"/>
        </w:rPr>
        <w:t>Por sua vez, o mercado de trabalho seguiu robusto. Só em junho, 213 mil novos postos de trabalho não rural foram criados, quando o esperado eram 195 mil. Para acompanhar o crescimento da população ativa, 120 mil novos empregos por mês precisam ser criados. O mês marcou o 93º mês seguido de criação de empregos nos EUA, a série mais longa da história. A taxa de desemprego, por outro lado, subiu de 3,8% em maio, para 4% em junho, com maior número de pessoas procurando emprego.</w:t>
      </w:r>
    </w:p>
    <w:p w:rsidR="00E55F9A" w:rsidRPr="006E3C42" w:rsidRDefault="00E55F9A" w:rsidP="00E55F9A">
      <w:pPr>
        <w:rPr>
          <w:color w:val="auto"/>
        </w:rPr>
      </w:pPr>
      <w:r w:rsidRPr="006E3C42">
        <w:rPr>
          <w:color w:val="auto"/>
        </w:rPr>
        <w:t>Ainda em junho, a inflação do consumidor subiu 0,1% na comparação com maio e 2,9% na base anual. O núcleo, que exclui os aumentos da energia e dos alimentos subiu 2,3%, já acima da meta do FED.</w:t>
      </w:r>
    </w:p>
    <w:p w:rsidR="00E55F9A" w:rsidRPr="006E3C42" w:rsidRDefault="00E55F9A" w:rsidP="00E55F9A">
      <w:pPr>
        <w:rPr>
          <w:color w:val="auto"/>
        </w:rPr>
      </w:pPr>
      <w:r w:rsidRPr="006E3C42">
        <w:rPr>
          <w:color w:val="auto"/>
        </w:rPr>
        <w:t>Em sua reunião, meados de junho, o Comitê de Política Monetária do FED, o banco central americano, decidiu como era esperado, elevar a taxa básica de juros, desta feita da banda entre 1,50% e 1,75% para entre 1,75% e 2% a.a. Na ata, as autoridades do FED enfatizaram o sólido crescimento econômico e repetiram a abordagem gradual no aumento dos juros.</w:t>
      </w:r>
    </w:p>
    <w:p w:rsidR="00E55F9A" w:rsidRPr="006E3C42" w:rsidRDefault="00E55F9A" w:rsidP="00E55F9A">
      <w:pPr>
        <w:rPr>
          <w:color w:val="auto"/>
        </w:rPr>
      </w:pPr>
      <w:r w:rsidRPr="006E3C42">
        <w:rPr>
          <w:color w:val="auto"/>
        </w:rPr>
        <w:t xml:space="preserve">Também merece destaque a “guerra” comercial iniciada pelo governo Trump. Inicialmente em âmbito mundial, ao impor tarifas sobre as importações americanas de aço e alumínio. Posteriormente, aprovou tarifa de 25% sobre importações de US$ 50 bilhões em produtos da China, que retaliou na mesma medida. Em resposta às tarifas sobre o aço e alumínio a União Europeia aprovou outras no valor de € 2,8 bilhões, sobre a importação de produtos americanos e a Rússia, por seu turno também. </w:t>
      </w:r>
    </w:p>
    <w:p w:rsidR="00E55F9A" w:rsidRPr="006E3C42" w:rsidRDefault="00E55F9A" w:rsidP="00226B7B">
      <w:pPr>
        <w:rPr>
          <w:color w:val="auto"/>
        </w:rPr>
      </w:pPr>
      <w:r w:rsidRPr="006E3C42">
        <w:rPr>
          <w:color w:val="auto"/>
        </w:rPr>
        <w:t>O fato é que os indicadores econômicos globais já mostraram os primeiros sinais de sofrimento com os primeiros passos de uma “guerra” que está abalando os mercados financeiros e a confiança do empresariado.</w:t>
      </w:r>
    </w:p>
    <w:p w:rsidR="00E55F9A" w:rsidRPr="006E3C42" w:rsidRDefault="00E55F9A" w:rsidP="00E55F9A">
      <w:pPr>
        <w:spacing w:after="0"/>
        <w:rPr>
          <w:b/>
          <w:color w:val="auto"/>
        </w:rPr>
      </w:pPr>
      <w:r w:rsidRPr="006E3C42">
        <w:rPr>
          <w:b/>
          <w:color w:val="auto"/>
        </w:rPr>
        <w:t xml:space="preserve">ÁSIA </w:t>
      </w:r>
    </w:p>
    <w:p w:rsidR="00E55F9A" w:rsidRPr="006E3C42" w:rsidRDefault="00E55F9A" w:rsidP="00E55F9A">
      <w:pPr>
        <w:rPr>
          <w:color w:val="auto"/>
        </w:rPr>
      </w:pPr>
      <w:r w:rsidRPr="006E3C42">
        <w:rPr>
          <w:color w:val="auto"/>
        </w:rPr>
        <w:t>No segundo trimestre deste ano, a economia chinesa cresceu 6,7% na comparação anual, continuando a superar a meta do governo, de 6,5%, embora tenha recuado ligeiramente sobre o crescimento de 6,8% verificado no primeiro trimestre. Esse dado ainda não reflete o impacto das tarifas impostas pelo governo americano, o que poderá ocorrer na segunda metade do ano.</w:t>
      </w:r>
    </w:p>
    <w:p w:rsidR="00E55F9A" w:rsidRPr="006E3C42" w:rsidRDefault="00E55F9A" w:rsidP="00E55F9A">
      <w:pPr>
        <w:rPr>
          <w:color w:val="auto"/>
        </w:rPr>
      </w:pPr>
      <w:r w:rsidRPr="006E3C42">
        <w:rPr>
          <w:color w:val="auto"/>
        </w:rPr>
        <w:t>Quanto à economia do Japão, houve uma contração anualizada de 0,6% no primeiro trimestre de 2018, quando a expectativa era de uma queda de apenas 0,1%. Sobre o trimestre anterior a queda foi de 0,2%. Assim, o banco central japonês manteve em junho a sua política monetária inalterada, em que a taxa de depósito de curto prazo é negativa em 0,1%.</w:t>
      </w:r>
    </w:p>
    <w:p w:rsidR="00E55F9A" w:rsidRPr="006E3C42" w:rsidRDefault="00E55F9A" w:rsidP="00E55F9A">
      <w:pPr>
        <w:rPr>
          <w:color w:val="auto"/>
        </w:rPr>
      </w:pPr>
      <w:r w:rsidRPr="006E3C42">
        <w:rPr>
          <w:color w:val="auto"/>
        </w:rPr>
        <w:t>Já o PIB da Índia teve expansão anualizada de 7,7% no primeiro trimestre do ano, impulsionado pelos setores de construção civil e de serviços.</w:t>
      </w:r>
    </w:p>
    <w:p w:rsidR="002F426A" w:rsidRPr="006E3C42" w:rsidRDefault="002F426A" w:rsidP="00446E27">
      <w:pPr>
        <w:spacing w:beforeLines="120" w:before="288" w:after="240" w:line="240" w:lineRule="auto"/>
        <w:rPr>
          <w:b/>
          <w:bCs/>
          <w:color w:val="auto"/>
          <w:szCs w:val="20"/>
        </w:rPr>
      </w:pPr>
      <w:r w:rsidRPr="006E3C42">
        <w:rPr>
          <w:b/>
          <w:bCs/>
          <w:color w:val="auto"/>
          <w:szCs w:val="20"/>
        </w:rPr>
        <w:t>MERCADO DE RENDA FIXA E RENDA VARIÁVEL</w:t>
      </w:r>
    </w:p>
    <w:p w:rsidR="00E55F9A" w:rsidRPr="006E3C42" w:rsidRDefault="00E55F9A" w:rsidP="00E55F9A">
      <w:pPr>
        <w:spacing w:after="0"/>
        <w:rPr>
          <w:b/>
          <w:color w:val="auto"/>
        </w:rPr>
      </w:pPr>
      <w:r w:rsidRPr="006E3C42">
        <w:rPr>
          <w:b/>
          <w:color w:val="auto"/>
        </w:rPr>
        <w:t>RENDA FIXA</w:t>
      </w:r>
    </w:p>
    <w:p w:rsidR="00E55F9A" w:rsidRPr="006E3C42" w:rsidRDefault="00E55F9A" w:rsidP="00E55F9A">
      <w:pPr>
        <w:rPr>
          <w:color w:val="auto"/>
        </w:rPr>
      </w:pPr>
      <w:r w:rsidRPr="006E3C42">
        <w:rPr>
          <w:color w:val="auto"/>
        </w:rPr>
        <w:lastRenderedPageBreak/>
        <w:t xml:space="preserve">Podemos dizer que no semestre que passou, com as expectativas de inflação de logo prazo nos EUA em seu nível mais alto, em pelo menos três anos e meio, o rendimento dos títulos do tesouro americano chegou a atingir o maior patamar em quatro anos. Mais de dois anos após começar a subir os juros, o FED tem conseguido apertar as condições financeiras, cujo impacto, com a continuada valorização do dólar tem sido mais sentido no exterior do que no âmbito doméstico, particularmente nos mercados emergentes. </w:t>
      </w:r>
    </w:p>
    <w:p w:rsidR="00E55F9A" w:rsidRPr="006E3C42" w:rsidRDefault="00E55F9A" w:rsidP="00E55F9A">
      <w:pPr>
        <w:rPr>
          <w:color w:val="auto"/>
        </w:rPr>
      </w:pPr>
      <w:r w:rsidRPr="006E3C42">
        <w:rPr>
          <w:color w:val="auto"/>
        </w:rPr>
        <w:t xml:space="preserve">Nesse contexto, o rendimento dos títulos de 10 anos emitidos pelo governo britânico (UK </w:t>
      </w:r>
      <w:proofErr w:type="spellStart"/>
      <w:r w:rsidRPr="006E3C42">
        <w:rPr>
          <w:color w:val="auto"/>
        </w:rPr>
        <w:t>Gilt</w:t>
      </w:r>
      <w:proofErr w:type="spellEnd"/>
      <w:r w:rsidRPr="006E3C42">
        <w:rPr>
          <w:color w:val="auto"/>
        </w:rPr>
        <w:t>) passou de 1,18% a.a., no final de 2017, para 1,27% a.a., no final do primeiro semestre de 2018 e o dos títulos do governo alemão (</w:t>
      </w:r>
      <w:proofErr w:type="spellStart"/>
      <w:r w:rsidRPr="006E3C42">
        <w:rPr>
          <w:color w:val="auto"/>
        </w:rPr>
        <w:t>Bund</w:t>
      </w:r>
      <w:proofErr w:type="spellEnd"/>
      <w:r w:rsidRPr="006E3C42">
        <w:rPr>
          <w:color w:val="auto"/>
        </w:rPr>
        <w:t>) de 0,42% a.a., para 0,31% a.a. Já os títulos de 10 anos do governo americano (</w:t>
      </w:r>
      <w:proofErr w:type="spellStart"/>
      <w:r w:rsidRPr="006E3C42">
        <w:rPr>
          <w:color w:val="auto"/>
        </w:rPr>
        <w:t>Treasury</w:t>
      </w:r>
      <w:proofErr w:type="spellEnd"/>
      <w:r w:rsidRPr="006E3C42">
        <w:rPr>
          <w:color w:val="auto"/>
        </w:rPr>
        <w:t xml:space="preserve"> </w:t>
      </w:r>
      <w:proofErr w:type="spellStart"/>
      <w:r w:rsidRPr="006E3C42">
        <w:rPr>
          <w:color w:val="auto"/>
        </w:rPr>
        <w:t>Bonds</w:t>
      </w:r>
      <w:proofErr w:type="spellEnd"/>
      <w:r w:rsidRPr="006E3C42">
        <w:rPr>
          <w:color w:val="auto"/>
        </w:rPr>
        <w:t>) tiveram o seu rendimento alterado, no mesmo período, de 2,32% a.a., para 2,85% a.a. e os de 30 anos de 2,74% a.a. para 2,98% a.a.</w:t>
      </w:r>
    </w:p>
    <w:p w:rsidR="00E55F9A" w:rsidRPr="006E3C42" w:rsidRDefault="00E55F9A" w:rsidP="00E55F9A">
      <w:pPr>
        <w:spacing w:after="0"/>
        <w:rPr>
          <w:b/>
          <w:color w:val="auto"/>
        </w:rPr>
      </w:pPr>
      <w:r w:rsidRPr="006E3C42">
        <w:rPr>
          <w:b/>
          <w:color w:val="auto"/>
        </w:rPr>
        <w:t>RENDA VARIÁVEL</w:t>
      </w:r>
    </w:p>
    <w:p w:rsidR="00E55F9A" w:rsidRPr="006E3C42" w:rsidRDefault="00E55F9A" w:rsidP="00E55F9A">
      <w:pPr>
        <w:rPr>
          <w:color w:val="auto"/>
        </w:rPr>
      </w:pPr>
      <w:r w:rsidRPr="006E3C42">
        <w:rPr>
          <w:color w:val="auto"/>
        </w:rPr>
        <w:t xml:space="preserve">Como era nossa expectativa, para a maioria das bolsas internacionais, o semestre foi de desempenhos negativos. O índice </w:t>
      </w:r>
      <w:proofErr w:type="spellStart"/>
      <w:r w:rsidRPr="006E3C42">
        <w:rPr>
          <w:color w:val="auto"/>
        </w:rPr>
        <w:t>Dax</w:t>
      </w:r>
      <w:proofErr w:type="spellEnd"/>
      <w:r w:rsidRPr="006E3C42">
        <w:rPr>
          <w:color w:val="auto"/>
        </w:rPr>
        <w:t xml:space="preserve"> 30 (Alemanha) acumulou queda de 4,73% no semestre, enquanto o FTSE 100 (Grã-Bretanha) recuou 0,66% nesse período.</w:t>
      </w:r>
    </w:p>
    <w:p w:rsidR="00E55F9A" w:rsidRPr="006E3C42" w:rsidRDefault="00E55F9A" w:rsidP="00E55F9A">
      <w:pPr>
        <w:rPr>
          <w:color w:val="auto"/>
        </w:rPr>
      </w:pPr>
      <w:r w:rsidRPr="006E3C42">
        <w:rPr>
          <w:color w:val="auto"/>
        </w:rPr>
        <w:t xml:space="preserve">Nos EUA, as bolsas voltaram a atingir níveis recorde, com a continuada melhora da economia. O índice S&amp;P 500 apresentou alta semestral de 1,67%. Na Ásia, alimentado pela “guerra” comercial com os EUA, o índice Shanghai SE </w:t>
      </w:r>
      <w:proofErr w:type="spellStart"/>
      <w:r w:rsidRPr="006E3C42">
        <w:rPr>
          <w:color w:val="auto"/>
        </w:rPr>
        <w:t>Composite</w:t>
      </w:r>
      <w:proofErr w:type="spellEnd"/>
      <w:r w:rsidRPr="006E3C42">
        <w:rPr>
          <w:color w:val="auto"/>
        </w:rPr>
        <w:t xml:space="preserve"> (China) caiu 13,90% no semestre, enquanto o índice Nikkei 225 (Japão), se desvalorizou em 2,02% no período. </w:t>
      </w:r>
    </w:p>
    <w:p w:rsidR="00E55F9A" w:rsidRPr="006E3C42" w:rsidRDefault="00E55F9A" w:rsidP="00E55F9A">
      <w:pPr>
        <w:rPr>
          <w:color w:val="auto"/>
        </w:rPr>
      </w:pPr>
      <w:r w:rsidRPr="006E3C42">
        <w:rPr>
          <w:color w:val="auto"/>
        </w:rPr>
        <w:t>No mercado de commodities, o petróleo, o principal produto, teve valorização expressiva. O tipo Brent subiu quase 19% no semestre. O preço da commodity atingiu seu valor mais alto em três anos. Para os analistas, há três motivos para o fim da era do petróleo barato. Os drásticos cortes de oferta do produto, as sanções contra o Irã e a queda do fornecimento venezuelano.</w:t>
      </w:r>
    </w:p>
    <w:p w:rsidR="002F426A" w:rsidRPr="006E3C42" w:rsidRDefault="002F426A" w:rsidP="00226B7B">
      <w:pPr>
        <w:pStyle w:val="Ttulo2"/>
        <w:rPr>
          <w:color w:val="auto"/>
        </w:rPr>
      </w:pPr>
      <w:bookmarkStart w:id="12" w:name="_Toc521592785"/>
      <w:r w:rsidRPr="006E3C42">
        <w:rPr>
          <w:color w:val="auto"/>
        </w:rPr>
        <w:t>NACIONAL</w:t>
      </w:r>
      <w:bookmarkEnd w:id="12"/>
      <w:r w:rsidR="00985117" w:rsidRPr="006E3C42">
        <w:rPr>
          <w:color w:val="auto"/>
        </w:rPr>
        <w:t xml:space="preserve"> – 1º SEMESTRE 2018</w:t>
      </w:r>
    </w:p>
    <w:p w:rsidR="00985117" w:rsidRPr="006E3C42" w:rsidRDefault="00985117" w:rsidP="00985117">
      <w:pPr>
        <w:spacing w:after="0"/>
        <w:rPr>
          <w:b/>
          <w:color w:val="auto"/>
        </w:rPr>
      </w:pPr>
      <w:r w:rsidRPr="006E3C42">
        <w:rPr>
          <w:b/>
          <w:color w:val="auto"/>
        </w:rPr>
        <w:t>ATIVIDADE ECONÔMICA</w:t>
      </w:r>
    </w:p>
    <w:p w:rsidR="00985117" w:rsidRPr="006E3C42" w:rsidRDefault="00985117" w:rsidP="00985117">
      <w:pPr>
        <w:rPr>
          <w:color w:val="auto"/>
        </w:rPr>
      </w:pPr>
      <w:r w:rsidRPr="006E3C42">
        <w:rPr>
          <w:color w:val="auto"/>
        </w:rPr>
        <w:t>A economia brasileira registrou expansão de 0,4% nos três primeiros meses de 2018, em relação ao último trimestre do ano anterior. Foi o quinto resultado positivo, após oito quedas consecutivas na comparação trimestral, conforme o IBGE. Em valores correntes o PIB somou R$ 1,6 trilhão no período e em relação ao primeiro trimestre do ano anterior cresceu 1,2%.</w:t>
      </w:r>
    </w:p>
    <w:p w:rsidR="00985117" w:rsidRPr="006E3C42" w:rsidRDefault="00985117" w:rsidP="00985117">
      <w:pPr>
        <w:rPr>
          <w:color w:val="auto"/>
        </w:rPr>
      </w:pPr>
      <w:r w:rsidRPr="006E3C42">
        <w:rPr>
          <w:color w:val="auto"/>
        </w:rPr>
        <w:t>Pelo lado da oferta, a queda do setor agropecuário foi de 2,6%, no trimestre, o setor industrial cresceu 1,6% e o setor de serviços 1,5%. Pelo lado da demanda, o consumo das famílias cresceu 0,5%, os investimentos (Formação Bruta de Capital Fixo) 0,6% e o consumo do governo recuou 0,4%. As exportações, por sua vez, registraram alta de 1,3% entre janeiro e março e as importações de 2,5%. A taxa de investimento foi de 16% no trimestre.</w:t>
      </w:r>
    </w:p>
    <w:p w:rsidR="00985117" w:rsidRPr="006E3C42" w:rsidRDefault="00985117" w:rsidP="00985117">
      <w:pPr>
        <w:rPr>
          <w:color w:val="auto"/>
        </w:rPr>
      </w:pPr>
      <w:r w:rsidRPr="006E3C42">
        <w:rPr>
          <w:color w:val="auto"/>
        </w:rPr>
        <w:t>Cabe também destaque para a greve dos caminhoneiros, que praticamente parou o país em maio, deflagrada como protesto também pelo preço do óleo diesel, o segundo mais alto nos últimos nove anos e equiparado ao da época em que o petróleo estava cotado a US$ 140 o barril. Os efeitos da greve na atividade econômica ainda serão melhor dimensionados, mas já foi possível saber que a produção industrial do Brasil em maio caiu 10,9%, por exemplo.</w:t>
      </w:r>
    </w:p>
    <w:p w:rsidR="00985117" w:rsidRPr="006E3C42" w:rsidRDefault="00985117" w:rsidP="00985117">
      <w:pPr>
        <w:spacing w:after="0"/>
        <w:rPr>
          <w:b/>
          <w:color w:val="auto"/>
        </w:rPr>
      </w:pPr>
      <w:r w:rsidRPr="006E3C42">
        <w:rPr>
          <w:b/>
          <w:color w:val="auto"/>
        </w:rPr>
        <w:t>EMPREGO E RENDA</w:t>
      </w:r>
    </w:p>
    <w:p w:rsidR="00985117" w:rsidRPr="006E3C42" w:rsidRDefault="00985117" w:rsidP="00985117">
      <w:pPr>
        <w:rPr>
          <w:color w:val="auto"/>
        </w:rPr>
      </w:pPr>
      <w:r w:rsidRPr="006E3C42">
        <w:rPr>
          <w:color w:val="auto"/>
        </w:rPr>
        <w:t>De acordo com a Pesquisa Nacional por Amostra de Domicílios Contínua (Pnad), do IBGE, a taxa de desemprego no país foi de 12,7% no trimestre encerrado em maio, quando no ano anterior havia sido de 13,3%. O número de desempregados atingiu 13,2 milhões de pessoas depois de ter alcançado 13,1 milhões no mês anterior. O rendimento médio real (corrigido pela inflação) foi de R$ 2.187,00 no trimestre de março a maio.</w:t>
      </w:r>
    </w:p>
    <w:p w:rsidR="00985117" w:rsidRPr="006E3C42" w:rsidRDefault="00985117" w:rsidP="00985117">
      <w:pPr>
        <w:spacing w:after="0"/>
        <w:rPr>
          <w:b/>
          <w:color w:val="auto"/>
        </w:rPr>
      </w:pPr>
      <w:r w:rsidRPr="006E3C42">
        <w:rPr>
          <w:b/>
          <w:color w:val="auto"/>
        </w:rPr>
        <w:t>SETOR PÚBLICO</w:t>
      </w:r>
    </w:p>
    <w:p w:rsidR="00985117" w:rsidRPr="006E3C42" w:rsidRDefault="00985117" w:rsidP="00985117">
      <w:pPr>
        <w:rPr>
          <w:color w:val="auto"/>
        </w:rPr>
      </w:pPr>
      <w:r w:rsidRPr="006E3C42">
        <w:rPr>
          <w:color w:val="auto"/>
        </w:rPr>
        <w:t>Nos primeiros cinco meses de 2018, o setor público consolidado registrou um déficit primário de R$ 14,7 bilhões, sendo que no mesmo período de 2017 havia tido um déficit de R$ 15,6 bilhões. Em doze meses, foi registrado um déficit primário de R$ 95,9 bilhões, equivalente a 1,44% do PIB.</w:t>
      </w:r>
    </w:p>
    <w:p w:rsidR="00985117" w:rsidRPr="006E3C42" w:rsidRDefault="00985117" w:rsidP="00985117">
      <w:pPr>
        <w:rPr>
          <w:color w:val="auto"/>
        </w:rPr>
      </w:pPr>
      <w:r w:rsidRPr="006E3C42">
        <w:rPr>
          <w:color w:val="auto"/>
        </w:rPr>
        <w:lastRenderedPageBreak/>
        <w:t>As despesas com os juros nominais totalizaram em doze meses R$ 384,3 bilhões (5,77% do PIB). O resultado nominal, que inclui o resultado primário mais os juros nominais foi deficitário em R$ 480,2 bilhões em doze meses e a Dívida Bruta do Governo Geral (governo federal, INSS, governos estaduais e municipais) alcançou R$ 5,13 trilhões em maio, ou o equivalente a 77% do PIB.</w:t>
      </w:r>
    </w:p>
    <w:p w:rsidR="00985117" w:rsidRPr="006E3C42" w:rsidRDefault="00985117" w:rsidP="00985117">
      <w:pPr>
        <w:rPr>
          <w:color w:val="auto"/>
        </w:rPr>
      </w:pPr>
      <w:r w:rsidRPr="006E3C42">
        <w:rPr>
          <w:color w:val="auto"/>
        </w:rPr>
        <w:t>Antes da greve dos caminhoneiros, o governo vinha reiterando a viabilidade de cumprir a meta fiscal deste ano que é de um déficit de R$ 159 bilhões. No entanto a tarefa ficou muito difícil por conta dos gastos adicionais que teve com o evento, e por conta de uma queda na arrecadação com o menor crescimento do PIB.</w:t>
      </w:r>
    </w:p>
    <w:p w:rsidR="00985117" w:rsidRPr="006E3C42" w:rsidRDefault="00985117" w:rsidP="00985117">
      <w:pPr>
        <w:rPr>
          <w:color w:val="auto"/>
        </w:rPr>
      </w:pPr>
      <w:r w:rsidRPr="006E3C42">
        <w:rPr>
          <w:color w:val="auto"/>
        </w:rPr>
        <w:t>Outro fato importante foi a edição pelo presidente Temer da Medida Provisória 830/2018, que extinguiu o Fundo Soberano Brasil – FSB, criado em 2008 como uma espécie de poupança a ser utilizada em caso de crise. Os recursos do fundo foram para o caixa do governo e serão usados para o pagamento da dívida pública federal. O governo tomou a decisão como forma de garantir o cumprimento da regra de ouro em 2018.</w:t>
      </w:r>
    </w:p>
    <w:p w:rsidR="00985117" w:rsidRPr="006E3C42" w:rsidRDefault="00985117" w:rsidP="00985117">
      <w:pPr>
        <w:rPr>
          <w:color w:val="auto"/>
        </w:rPr>
      </w:pPr>
      <w:r w:rsidRPr="006E3C42">
        <w:rPr>
          <w:color w:val="auto"/>
        </w:rPr>
        <w:t xml:space="preserve">Para o atual ministro da Fazenda, Eduardo </w:t>
      </w:r>
      <w:proofErr w:type="spellStart"/>
      <w:r w:rsidRPr="006E3C42">
        <w:rPr>
          <w:color w:val="auto"/>
        </w:rPr>
        <w:t>Guardia</w:t>
      </w:r>
      <w:proofErr w:type="spellEnd"/>
      <w:r w:rsidRPr="006E3C42">
        <w:rPr>
          <w:color w:val="auto"/>
        </w:rPr>
        <w:t>, embora a economia hoje esteja em melhor situação que em 2002, no final do governo FHC, as contas públicas estão em pior situação e só depois de importantes reformas deverão melhorar.</w:t>
      </w:r>
    </w:p>
    <w:p w:rsidR="00985117" w:rsidRPr="006E3C42" w:rsidRDefault="00985117" w:rsidP="00985117">
      <w:pPr>
        <w:spacing w:after="0"/>
        <w:rPr>
          <w:b/>
          <w:color w:val="auto"/>
        </w:rPr>
      </w:pPr>
      <w:r w:rsidRPr="006E3C42">
        <w:rPr>
          <w:b/>
          <w:color w:val="auto"/>
        </w:rPr>
        <w:t>INFLAÇÃO</w:t>
      </w:r>
    </w:p>
    <w:p w:rsidR="00985117" w:rsidRPr="006E3C42" w:rsidRDefault="00985117" w:rsidP="00985117">
      <w:pPr>
        <w:rPr>
          <w:color w:val="auto"/>
        </w:rPr>
      </w:pPr>
      <w:r w:rsidRPr="006E3C42">
        <w:rPr>
          <w:color w:val="auto"/>
        </w:rPr>
        <w:t>A inflação medida através do Índice Nacional de Preços ao Consumidor Amplo (IPCA), calculado pelo IBGE e que abrange as famílias com renda mensal entre um e quarenta salários mínimos foi de 1,26% em junho, por conta principalmente dos aumentos de preços dos alimentos, como consequência da greve dos caminhoneiros, ante 0,40% em maio. Foi a maior alta para um mês de junho desde 1995. No semestre o índice acumulou alta de 2,60 % e em doze meses de 4,39%.</w:t>
      </w:r>
    </w:p>
    <w:p w:rsidR="00985117" w:rsidRPr="006E3C42" w:rsidRDefault="00985117" w:rsidP="00226B7B">
      <w:pPr>
        <w:rPr>
          <w:color w:val="auto"/>
        </w:rPr>
      </w:pPr>
      <w:r w:rsidRPr="006E3C42">
        <w:rPr>
          <w:color w:val="auto"/>
        </w:rPr>
        <w:t>Já a inflação medida pelo Índice Nacional de Preços ao Consumidor (INPC), também calculado pelo IBGE, abrangendo famílias com renda mensal entre um e cinco salários mínimos, subiu 1,43% em junho, ante 0,43% em maio. Assim, acumulou uma alta de 2,57% no ano e de 3,53% em doze meses.</w:t>
      </w:r>
    </w:p>
    <w:p w:rsidR="00985117" w:rsidRPr="006E3C42" w:rsidRDefault="00985117" w:rsidP="00985117">
      <w:pPr>
        <w:spacing w:after="0"/>
        <w:rPr>
          <w:b/>
          <w:color w:val="auto"/>
        </w:rPr>
      </w:pPr>
      <w:r w:rsidRPr="006E3C42">
        <w:rPr>
          <w:b/>
          <w:color w:val="auto"/>
        </w:rPr>
        <w:t xml:space="preserve">JUROS </w:t>
      </w:r>
    </w:p>
    <w:p w:rsidR="00985117" w:rsidRPr="006E3C42" w:rsidRDefault="00985117" w:rsidP="00985117">
      <w:pPr>
        <w:rPr>
          <w:color w:val="auto"/>
        </w:rPr>
      </w:pPr>
      <w:r w:rsidRPr="006E3C42">
        <w:rPr>
          <w:color w:val="auto"/>
        </w:rPr>
        <w:t xml:space="preserve">Depois de ter reduzido a taxa Selic para 6,50% ao ano, em sua reunião de junho o Comitê de Política Monetária do Banco Central - Copom manteve pela segunda vez e de forma unanime a taxa no atual patamar, citando a piora no mercado externo e o menor crescimento do país. Portanto, diante das incertezas o BC decidiu não se comprometer com sinalizações sobre os próximos passos da política monetária e reafirmou que ela tem foco exclusivo na inflação, seus balanços de risco e na atividade econômica. </w:t>
      </w:r>
    </w:p>
    <w:p w:rsidR="00985117" w:rsidRPr="006E3C42" w:rsidRDefault="00985117" w:rsidP="00985117">
      <w:pPr>
        <w:rPr>
          <w:color w:val="auto"/>
        </w:rPr>
      </w:pPr>
      <w:r w:rsidRPr="006E3C42">
        <w:rPr>
          <w:color w:val="auto"/>
        </w:rPr>
        <w:t>Na ata da reunião, o Copom reconheceu que o processo de alta dos juros nos EUA gera risco crescente para os mercados emergentes, o que deve potencializar o ajuste de preços e a volatilidade nos negócios. Outro risco é a “guerra” comercial entre as principais economias do mundo, o que torna o cenário externo ainda mais desafiador.</w:t>
      </w:r>
    </w:p>
    <w:p w:rsidR="00985117" w:rsidRPr="006E3C42" w:rsidRDefault="00985117" w:rsidP="00985117">
      <w:pPr>
        <w:spacing w:after="0"/>
        <w:rPr>
          <w:b/>
          <w:color w:val="auto"/>
        </w:rPr>
      </w:pPr>
      <w:r w:rsidRPr="006E3C42">
        <w:rPr>
          <w:b/>
          <w:color w:val="auto"/>
        </w:rPr>
        <w:t xml:space="preserve">CÂMBIO E SETOR EXTERNO </w:t>
      </w:r>
    </w:p>
    <w:p w:rsidR="00985117" w:rsidRPr="006E3C42" w:rsidRDefault="00985117" w:rsidP="00985117">
      <w:pPr>
        <w:rPr>
          <w:color w:val="auto"/>
        </w:rPr>
      </w:pPr>
      <w:r w:rsidRPr="006E3C42">
        <w:rPr>
          <w:color w:val="auto"/>
        </w:rPr>
        <w:t xml:space="preserve">A taxa de câmbio dólar x real, denominada </w:t>
      </w:r>
      <w:proofErr w:type="spellStart"/>
      <w:r w:rsidRPr="006E3C42">
        <w:rPr>
          <w:color w:val="auto"/>
        </w:rPr>
        <w:t>P-Tax</w:t>
      </w:r>
      <w:proofErr w:type="spellEnd"/>
      <w:r w:rsidRPr="006E3C42">
        <w:rPr>
          <w:color w:val="auto"/>
        </w:rPr>
        <w:t xml:space="preserve"> 800, que é calculada pelo Banco Central do Brasil, fechou o primeiro semestre de 2018 cotada a R$ 3,8558, acumulando uma alta de 16,56% no ano e de 16,55% em doze meses. </w:t>
      </w:r>
    </w:p>
    <w:p w:rsidR="00985117" w:rsidRPr="006E3C42" w:rsidRDefault="00985117" w:rsidP="00985117">
      <w:pPr>
        <w:rPr>
          <w:color w:val="auto"/>
        </w:rPr>
      </w:pPr>
      <w:r w:rsidRPr="006E3C42">
        <w:rPr>
          <w:color w:val="auto"/>
        </w:rPr>
        <w:t>Em relação ao Balanço de Pagamentos, as transações correntes acumularam, em doze meses, terminados em maio, um déficit de US$ 13 bilhões, ou o equivalente a 0,65% do PIB, depois de ter se superado os US$ 100 bilhões, em 2014. Os investimentos diretos no país (IED) totalizaram US$ 61,8 bilhões nos últimos doze meses e permaneceram como a principal fonte de financiamento do balanço de pagamentos. Já as reservas internacionais, ao final de maio, pelo conceito de liquidez eram de US$ 382,5.</w:t>
      </w:r>
    </w:p>
    <w:p w:rsidR="00985117" w:rsidRPr="006E3C42" w:rsidRDefault="00985117" w:rsidP="00985117">
      <w:pPr>
        <w:rPr>
          <w:color w:val="auto"/>
        </w:rPr>
      </w:pPr>
      <w:r w:rsidRPr="006E3C42">
        <w:rPr>
          <w:color w:val="auto"/>
        </w:rPr>
        <w:t>Quanto à Balança Comercial, o superávit no primeiro semestre de 2018 foi de US$ 30,05 bilhões, 17% menor do que o registrado no mesmo período de 2017, em que foi recorde.</w:t>
      </w:r>
    </w:p>
    <w:p w:rsidR="00BA3136" w:rsidRPr="006E3C42" w:rsidRDefault="00BA3136" w:rsidP="00985117">
      <w:pPr>
        <w:rPr>
          <w:b/>
          <w:bCs/>
          <w:color w:val="auto"/>
          <w:szCs w:val="20"/>
        </w:rPr>
      </w:pPr>
      <w:r w:rsidRPr="006E3C42">
        <w:rPr>
          <w:b/>
          <w:bCs/>
          <w:color w:val="auto"/>
          <w:szCs w:val="20"/>
        </w:rPr>
        <w:t>MERCADO DE RENDA FIXA E RENDA VARIÁVEL</w:t>
      </w:r>
    </w:p>
    <w:p w:rsidR="00985117" w:rsidRPr="006E3C42" w:rsidRDefault="00985117" w:rsidP="00985117">
      <w:pPr>
        <w:spacing w:after="0"/>
        <w:rPr>
          <w:b/>
          <w:color w:val="auto"/>
        </w:rPr>
      </w:pPr>
      <w:r w:rsidRPr="006E3C42">
        <w:rPr>
          <w:b/>
          <w:color w:val="auto"/>
        </w:rPr>
        <w:t>RENDA FIXA</w:t>
      </w:r>
    </w:p>
    <w:p w:rsidR="00985117" w:rsidRPr="006E3C42" w:rsidRDefault="00985117" w:rsidP="00985117">
      <w:pPr>
        <w:jc w:val="left"/>
        <w:rPr>
          <w:color w:val="auto"/>
        </w:rPr>
      </w:pPr>
      <w:r w:rsidRPr="006E3C42">
        <w:rPr>
          <w:color w:val="auto"/>
        </w:rPr>
        <w:lastRenderedPageBreak/>
        <w:t xml:space="preserve">A continuada valorização do dólar no mercado internacional e a greve dos caminhoneiros trouxeram momentos de extrema volatilidade para o mercado financeiro no final de maio e início de junho. A disparada da cotação do dólar e das taxas internas de juros levou o presidente do Banco Central do Brasil a reafirmar a atuação do banco e do Tesouro Nacional no sentido de prover liquidez para os mercados de câmbio e juros, se utilizando inclusive das reservas cambiais.  </w:t>
      </w:r>
    </w:p>
    <w:p w:rsidR="00985117" w:rsidRPr="006E3C42" w:rsidRDefault="00985117" w:rsidP="00985117">
      <w:pPr>
        <w:jc w:val="left"/>
        <w:rPr>
          <w:color w:val="auto"/>
        </w:rPr>
      </w:pPr>
      <w:r w:rsidRPr="006E3C42">
        <w:rPr>
          <w:color w:val="auto"/>
        </w:rPr>
        <w:t xml:space="preserve">Assim, o ganho obtido no início do ano com as aplicações em renda fixa prefixada ou indexada ao IPCA, principalmente de prazos mais longos acabou prejudicado. O melhor desempenho entre os indicadores referenciais dos fundos de renda fixa foi o do DI, que acumulou alta de 3,18% no semestre, seguido do IRF-M1, com alta de 3,08%, enquanto a meta atuarial baseada no IPCA + 6%a.a acumulou alta de 5,59% e a com base no INPC + 6% </w:t>
      </w:r>
      <w:proofErr w:type="spellStart"/>
      <w:r w:rsidRPr="006E3C42">
        <w:rPr>
          <w:color w:val="auto"/>
        </w:rPr>
        <w:t>a.a</w:t>
      </w:r>
      <w:proofErr w:type="spellEnd"/>
      <w:r w:rsidRPr="006E3C42">
        <w:rPr>
          <w:color w:val="auto"/>
        </w:rPr>
        <w:t xml:space="preserve"> 5,55% no mesmo período.</w:t>
      </w:r>
    </w:p>
    <w:p w:rsidR="00985117" w:rsidRPr="006E3C42" w:rsidRDefault="00985117" w:rsidP="00985117">
      <w:pPr>
        <w:spacing w:after="0"/>
        <w:rPr>
          <w:b/>
          <w:color w:val="auto"/>
        </w:rPr>
      </w:pPr>
      <w:r w:rsidRPr="006E3C42">
        <w:rPr>
          <w:b/>
          <w:color w:val="auto"/>
        </w:rPr>
        <w:t>RENDA VARIÁVEL</w:t>
      </w:r>
    </w:p>
    <w:p w:rsidR="00985117" w:rsidRPr="006E3C42" w:rsidRDefault="00985117" w:rsidP="00985117">
      <w:pPr>
        <w:jc w:val="left"/>
        <w:rPr>
          <w:color w:val="auto"/>
        </w:rPr>
      </w:pPr>
      <w:r w:rsidRPr="006E3C42">
        <w:rPr>
          <w:color w:val="auto"/>
        </w:rPr>
        <w:t>Para a bolsa brasileira, com os riscos se elevando sensivelmente, o semestre também acabou sendo ruim. O índice Bovespa caiu 4,76% no período, embora tenha tido uma alta de 15,68% em doze meses.</w:t>
      </w:r>
    </w:p>
    <w:p w:rsidR="00985117" w:rsidRPr="006E3C42" w:rsidRDefault="00985117" w:rsidP="00985117">
      <w:pPr>
        <w:jc w:val="left"/>
        <w:rPr>
          <w:color w:val="auto"/>
        </w:rPr>
      </w:pPr>
      <w:r w:rsidRPr="006E3C42">
        <w:rPr>
          <w:color w:val="auto"/>
        </w:rPr>
        <w:t>Os investidores estrangeiros, que representam hoje cerca de metade do volume financeiro da Bovespa, por conta do cenário externo mais perigoso e volátil, foram os responsáveis por uma retirada líquida de R$ 9,94 bilhões da bolsa brasileira no primeiro semestre do ano, o pior resultado desde 2008.</w:t>
      </w:r>
    </w:p>
    <w:p w:rsidR="004C20AC" w:rsidRPr="006E3C42" w:rsidRDefault="006B0FB7" w:rsidP="00226B7B">
      <w:pPr>
        <w:pStyle w:val="Ttulo2"/>
        <w:rPr>
          <w:color w:val="auto"/>
        </w:rPr>
      </w:pPr>
      <w:bookmarkStart w:id="13" w:name="_Toc496794722"/>
      <w:bookmarkStart w:id="14" w:name="_Toc496794723"/>
      <w:bookmarkStart w:id="15" w:name="_Toc496794724"/>
      <w:bookmarkStart w:id="16" w:name="_Toc496794725"/>
      <w:bookmarkStart w:id="17" w:name="_Toc496794726"/>
      <w:bookmarkStart w:id="18" w:name="_Toc496794727"/>
      <w:bookmarkStart w:id="19" w:name="_Toc490036542"/>
      <w:bookmarkStart w:id="20" w:name="_Toc521592786"/>
      <w:bookmarkEnd w:id="13"/>
      <w:bookmarkEnd w:id="14"/>
      <w:bookmarkEnd w:id="15"/>
      <w:bookmarkEnd w:id="16"/>
      <w:bookmarkEnd w:id="17"/>
      <w:bookmarkEnd w:id="18"/>
      <w:r w:rsidRPr="006E3C42">
        <w:rPr>
          <w:color w:val="auto"/>
        </w:rPr>
        <w:t>PERSPECTIVAS</w:t>
      </w:r>
      <w:bookmarkEnd w:id="19"/>
      <w:bookmarkEnd w:id="20"/>
    </w:p>
    <w:p w:rsidR="00BA3136" w:rsidRPr="006E3C42" w:rsidRDefault="00BA3136" w:rsidP="007D7FE1">
      <w:pPr>
        <w:pStyle w:val="Ttulo3"/>
        <w:spacing w:after="240"/>
        <w:rPr>
          <w:color w:val="auto"/>
        </w:rPr>
      </w:pPr>
      <w:bookmarkStart w:id="21" w:name="_Toc521592787"/>
      <w:r w:rsidRPr="006E3C42">
        <w:rPr>
          <w:color w:val="auto"/>
        </w:rPr>
        <w:t>INTERNACIONAL</w:t>
      </w:r>
      <w:bookmarkEnd w:id="21"/>
      <w:r w:rsidR="00985117" w:rsidRPr="006E3C42">
        <w:rPr>
          <w:color w:val="auto"/>
        </w:rPr>
        <w:t xml:space="preserve"> – 2° SEMESTRE DE 2018</w:t>
      </w:r>
    </w:p>
    <w:p w:rsidR="00985117" w:rsidRPr="006E3C42" w:rsidRDefault="00985117" w:rsidP="00985117">
      <w:pPr>
        <w:rPr>
          <w:color w:val="auto"/>
        </w:rPr>
      </w:pPr>
      <w:r w:rsidRPr="006E3C42">
        <w:rPr>
          <w:color w:val="auto"/>
        </w:rPr>
        <w:t>Para o FMI, o crescimento global será de 3,9% neste ano, com as economias avançadas evoluindo 2,4% e as emergentes e dos países em desenvolvimento 4,9%. No entanto, em meio às tensões crescentes com a “guerra” comercial, a expansão global que se iniciou há dois anos ainda é forte, embora deva ser um pouco mais frágil e mais desigual.</w:t>
      </w:r>
    </w:p>
    <w:p w:rsidR="00985117" w:rsidRPr="006E3C42" w:rsidRDefault="00985117" w:rsidP="00985117">
      <w:pPr>
        <w:spacing w:after="0"/>
        <w:rPr>
          <w:b/>
          <w:color w:val="auto"/>
        </w:rPr>
      </w:pPr>
      <w:r w:rsidRPr="006E3C42">
        <w:rPr>
          <w:b/>
          <w:color w:val="auto"/>
        </w:rPr>
        <w:t>EUROPA</w:t>
      </w:r>
    </w:p>
    <w:p w:rsidR="00985117" w:rsidRPr="006E3C42" w:rsidRDefault="00985117" w:rsidP="00985117">
      <w:pPr>
        <w:rPr>
          <w:color w:val="auto"/>
        </w:rPr>
      </w:pPr>
      <w:r w:rsidRPr="006E3C42">
        <w:rPr>
          <w:color w:val="auto"/>
        </w:rPr>
        <w:t xml:space="preserve">Em relação à zona do euro, o FMI, conforme relatório publicado já em julho, tem a expectativa de um crescimento de 2,2% em 2018 e de 1,9% em 2019. </w:t>
      </w:r>
    </w:p>
    <w:p w:rsidR="00985117" w:rsidRPr="006E3C42" w:rsidRDefault="00985117" w:rsidP="00985117">
      <w:pPr>
        <w:rPr>
          <w:color w:val="auto"/>
        </w:rPr>
      </w:pPr>
      <w:r w:rsidRPr="006E3C42">
        <w:rPr>
          <w:color w:val="auto"/>
        </w:rPr>
        <w:t xml:space="preserve">Para o presidente do Banco Central Europeu, Mario </w:t>
      </w:r>
      <w:proofErr w:type="spellStart"/>
      <w:r w:rsidRPr="006E3C42">
        <w:rPr>
          <w:color w:val="auto"/>
        </w:rPr>
        <w:t>Draghi</w:t>
      </w:r>
      <w:proofErr w:type="spellEnd"/>
      <w:r w:rsidRPr="006E3C42">
        <w:rPr>
          <w:color w:val="auto"/>
        </w:rPr>
        <w:t>, a instituição fez avanços substanciais no sentido de impulsionar os preços na economia, mas ressaltou que ainda são necessários amplos estímulos monetários para que sua meta de inflação seja atingida de forma estável. Quanto à atividade econômica disse que embora os últimos dados tenham sido mais fracos, espera que o PIB evolua 2,1% este ano.</w:t>
      </w:r>
    </w:p>
    <w:p w:rsidR="00985117" w:rsidRPr="006E3C42" w:rsidRDefault="00985117" w:rsidP="00985117">
      <w:pPr>
        <w:rPr>
          <w:color w:val="auto"/>
        </w:rPr>
      </w:pPr>
      <w:r w:rsidRPr="006E3C42">
        <w:rPr>
          <w:color w:val="auto"/>
        </w:rPr>
        <w:t>Para a economia alemã, o FMI previu crescimento de 2,2% em 2018 e 2,1% em 2019. Para a economia francesa estimou um crescimento de 1,8%, este ano e de 1,7% no próximo. Para a italiana, 1,2% e 1% e para a espanhola 2,8% e 2,2%, respectivamente. Para o Reino Unido estima um crescimento de 1,4% neste ano e de 1,5% no próximo. Para a Rússia, país emergente do continente europeu, o FMI projetou a alta do PIB em 1,7% em 2018 e de 1,5% em 2019.</w:t>
      </w:r>
    </w:p>
    <w:p w:rsidR="00985117" w:rsidRPr="006E3C42" w:rsidRDefault="00985117" w:rsidP="00985117">
      <w:pPr>
        <w:spacing w:after="0"/>
        <w:rPr>
          <w:b/>
          <w:color w:val="auto"/>
        </w:rPr>
      </w:pPr>
      <w:r w:rsidRPr="006E3C42">
        <w:rPr>
          <w:b/>
          <w:color w:val="auto"/>
        </w:rPr>
        <w:t>EUA</w:t>
      </w:r>
    </w:p>
    <w:p w:rsidR="00985117" w:rsidRPr="006E3C42" w:rsidRDefault="00985117" w:rsidP="00985117">
      <w:pPr>
        <w:rPr>
          <w:color w:val="auto"/>
        </w:rPr>
      </w:pPr>
      <w:r w:rsidRPr="006E3C42">
        <w:rPr>
          <w:color w:val="auto"/>
        </w:rPr>
        <w:t>O Fundo Monetário Internacional acredita que a economia americana crescerá 2,9% em 2018 e 2,7% em 2019. Para economistas do FED, o corte de impostos de US$ 1,5 trilhão promovido pelo governo Trump no final de 2017, em vez de impulsionar o PIB em 1,3 pontos percentuais, como foi estimado pelo Escritório de Orçamento do Congresso e por outros analistas, deverá criar um impulso inferior a 1% ou menos. Isso porque o estímulo fiscal tem um grande efeito na atividade econômica quando o desemprego está alto e as finanças pessoais contidas, mas um efeito bem menor quando a economia está forte.</w:t>
      </w:r>
    </w:p>
    <w:p w:rsidR="00985117" w:rsidRPr="006E3C42" w:rsidRDefault="00985117" w:rsidP="00985117">
      <w:pPr>
        <w:rPr>
          <w:color w:val="auto"/>
        </w:rPr>
      </w:pPr>
      <w:r w:rsidRPr="006E3C42">
        <w:rPr>
          <w:color w:val="auto"/>
        </w:rPr>
        <w:t>Para o presidente do FED, Jerome Powell, o melhor caminho para a política monetária é seguir com o gradual aumento da taxa de juros. Com o forte mercado de trabalho e a inflação perto do objetivo, os riscos para as perspectivas em geral estão equilibrados.</w:t>
      </w:r>
    </w:p>
    <w:p w:rsidR="00985117" w:rsidRPr="006E3C42" w:rsidRDefault="00985117" w:rsidP="00985117">
      <w:pPr>
        <w:rPr>
          <w:color w:val="auto"/>
        </w:rPr>
      </w:pPr>
      <w:r w:rsidRPr="006E3C42">
        <w:rPr>
          <w:color w:val="auto"/>
        </w:rPr>
        <w:t xml:space="preserve">O maior risco para os EUA parece ser o próprio presidente Trump, embora se estime que numa “guerra” comercial o país não seria tão afetado quanto outras economias. Para o banco japonês Mitsubishi UFJ Financial </w:t>
      </w:r>
      <w:proofErr w:type="spellStart"/>
      <w:r w:rsidRPr="006E3C42">
        <w:rPr>
          <w:color w:val="auto"/>
        </w:rPr>
        <w:t>Group</w:t>
      </w:r>
      <w:proofErr w:type="spellEnd"/>
      <w:r w:rsidRPr="006E3C42">
        <w:rPr>
          <w:color w:val="auto"/>
        </w:rPr>
        <w:t xml:space="preserve">, o maior banco privado do mundo, uma “guerra” comercial poderá reduzir o crescimento da economia </w:t>
      </w:r>
      <w:r w:rsidRPr="006E3C42">
        <w:rPr>
          <w:color w:val="auto"/>
        </w:rPr>
        <w:lastRenderedPageBreak/>
        <w:t>global e, a depender da severidade da crise, levar o mundo a uma recessão. Para o banco, o presidente Trump pensa como um mercantilista do século XXVII, para quem um déficit comercial bilateral é ruim.</w:t>
      </w:r>
    </w:p>
    <w:p w:rsidR="00985117" w:rsidRPr="006E3C42" w:rsidRDefault="00985117" w:rsidP="00985117">
      <w:pPr>
        <w:spacing w:after="0"/>
        <w:rPr>
          <w:b/>
          <w:color w:val="auto"/>
        </w:rPr>
      </w:pPr>
      <w:r w:rsidRPr="006E3C42">
        <w:rPr>
          <w:b/>
          <w:color w:val="auto"/>
        </w:rPr>
        <w:t>ÁSIA</w:t>
      </w:r>
    </w:p>
    <w:p w:rsidR="00985117" w:rsidRPr="006E3C42" w:rsidRDefault="00985117" w:rsidP="00985117">
      <w:pPr>
        <w:rPr>
          <w:color w:val="auto"/>
        </w:rPr>
      </w:pPr>
      <w:r w:rsidRPr="006E3C42">
        <w:rPr>
          <w:color w:val="auto"/>
        </w:rPr>
        <w:t xml:space="preserve">Para a China, o FMI previu uma evolução do PIB de 6,6%, em 2018 e de 6,4% em 2019. Sem dúvida a disputa comercial provoca preocupações, embora para o banco central, a política fiscal do país tem amplo espaço para sustentar a economia. O governo deve usar fundos fiscais para reabastecer o capital das instituições financeiras estatais e aliviar a pressão na </w:t>
      </w:r>
      <w:proofErr w:type="spellStart"/>
      <w:r w:rsidRPr="006E3C42">
        <w:rPr>
          <w:color w:val="auto"/>
        </w:rPr>
        <w:t>desalavancagem</w:t>
      </w:r>
      <w:proofErr w:type="spellEnd"/>
      <w:r w:rsidRPr="006E3C42">
        <w:rPr>
          <w:color w:val="auto"/>
        </w:rPr>
        <w:t xml:space="preserve"> do mercado financeiro. </w:t>
      </w:r>
    </w:p>
    <w:p w:rsidR="00985117" w:rsidRPr="006E3C42" w:rsidRDefault="00985117" w:rsidP="00985117">
      <w:pPr>
        <w:rPr>
          <w:color w:val="auto"/>
        </w:rPr>
      </w:pPr>
      <w:r w:rsidRPr="006E3C42">
        <w:rPr>
          <w:color w:val="auto"/>
        </w:rPr>
        <w:t>Em relação ao Japão, o FMI estimou um crescimento de 1% em 2018 e de 0,9% em 2019. Para a Índia estimou um crescimento de 7,3% neste ano e de 7,5% no próximo.</w:t>
      </w:r>
    </w:p>
    <w:p w:rsidR="00985117" w:rsidRPr="006E3C42" w:rsidRDefault="00985117" w:rsidP="00985117">
      <w:pPr>
        <w:rPr>
          <w:b/>
          <w:bCs/>
          <w:color w:val="auto"/>
          <w:szCs w:val="20"/>
        </w:rPr>
      </w:pPr>
      <w:r w:rsidRPr="006E3C42">
        <w:rPr>
          <w:b/>
          <w:bCs/>
          <w:color w:val="auto"/>
          <w:szCs w:val="20"/>
        </w:rPr>
        <w:t>MERCADO DE RENDA FIXA E RENDA VARIÁVEL</w:t>
      </w:r>
    </w:p>
    <w:p w:rsidR="00985117" w:rsidRPr="006E3C42" w:rsidRDefault="00985117" w:rsidP="00985117">
      <w:pPr>
        <w:spacing w:after="0"/>
        <w:rPr>
          <w:b/>
          <w:color w:val="auto"/>
        </w:rPr>
      </w:pPr>
      <w:r w:rsidRPr="006E3C42">
        <w:rPr>
          <w:b/>
          <w:color w:val="auto"/>
        </w:rPr>
        <w:t xml:space="preserve">RENDA FIXA </w:t>
      </w:r>
    </w:p>
    <w:p w:rsidR="00985117" w:rsidRPr="006E3C42" w:rsidRDefault="00985117" w:rsidP="00985117">
      <w:pPr>
        <w:rPr>
          <w:color w:val="auto"/>
        </w:rPr>
      </w:pPr>
      <w:r w:rsidRPr="006E3C42">
        <w:rPr>
          <w:color w:val="auto"/>
        </w:rPr>
        <w:t xml:space="preserve">Ainda em abril, o FMI alertou que a dívida global se encontra mais alta do que nunca, ao alcançar 225% do PIB mundial, superando inclusive o pico registrado em 2009, em grande parte por culpa do crescente endividamento da China. A dívida pública desempenha um papel importante nesse aumento global, o que reflete o colapso econômico durante a crise financeira mundial e a resposta política, assim como os efeitos da queda de 2014 nos preços das matérias-primas e o rápido crescimento da despesa no caso dos mercados emergentes e nos países em desenvolvimento de baixa renda. </w:t>
      </w:r>
    </w:p>
    <w:p w:rsidR="00985117" w:rsidRPr="006E3C42" w:rsidRDefault="00985117" w:rsidP="00985117">
      <w:pPr>
        <w:rPr>
          <w:color w:val="auto"/>
        </w:rPr>
      </w:pPr>
      <w:r w:rsidRPr="006E3C42">
        <w:rPr>
          <w:color w:val="auto"/>
        </w:rPr>
        <w:t>Para importantes gestores de fundos de hedge globais, o fim do período de uma década de valorização dos ativos, à medida que os principais bancos centrais normalizam a política monetária e a ascensão do populismo, que ameaça o comércio internacional poderão trazer de volta situações de crise como as vividas em 2000 e 2008.</w:t>
      </w:r>
    </w:p>
    <w:p w:rsidR="00985117" w:rsidRPr="006E3C42" w:rsidRDefault="00985117" w:rsidP="00985117">
      <w:pPr>
        <w:rPr>
          <w:color w:val="auto"/>
        </w:rPr>
      </w:pPr>
      <w:r w:rsidRPr="006E3C42">
        <w:rPr>
          <w:color w:val="auto"/>
        </w:rPr>
        <w:t xml:space="preserve">O fato é que na medida em que os estímulos fiscais adotados em larga escala pelos bancos centrais foram inéditos, a sua desmontagem também é. Aos poucos estamos indo para isso. </w:t>
      </w:r>
    </w:p>
    <w:p w:rsidR="00985117" w:rsidRPr="006E3C42" w:rsidRDefault="00985117" w:rsidP="00985117">
      <w:pPr>
        <w:spacing w:after="0"/>
        <w:rPr>
          <w:b/>
          <w:color w:val="auto"/>
        </w:rPr>
      </w:pPr>
      <w:r w:rsidRPr="006E3C42">
        <w:rPr>
          <w:b/>
          <w:color w:val="auto"/>
        </w:rPr>
        <w:t>RENDA VARIÁVEL</w:t>
      </w:r>
    </w:p>
    <w:p w:rsidR="00985117" w:rsidRPr="006E3C42" w:rsidRDefault="00985117" w:rsidP="00985117">
      <w:pPr>
        <w:rPr>
          <w:color w:val="auto"/>
        </w:rPr>
      </w:pPr>
      <w:r w:rsidRPr="006E3C42">
        <w:rPr>
          <w:color w:val="auto"/>
        </w:rPr>
        <w:t xml:space="preserve">Para as bolsas internacionais, com a normalização das políticas monetárias e com as crescentes tensões comerciais, o cenário é bastante incerto. Ainda para agravar as perspectivas, as bolsas americanas que se encontram no pico de valorização, em algum momento terão que realizar lucros de forma mais contundente, influenciando outras no mundo. </w:t>
      </w:r>
    </w:p>
    <w:p w:rsidR="00985117" w:rsidRPr="006E3C42" w:rsidRDefault="00985117" w:rsidP="00985117">
      <w:pPr>
        <w:rPr>
          <w:color w:val="auto"/>
        </w:rPr>
      </w:pPr>
      <w:r w:rsidRPr="006E3C42">
        <w:rPr>
          <w:color w:val="auto"/>
        </w:rPr>
        <w:t xml:space="preserve">Para a equipe de análise do Goldman Sachs, a atual fraqueza do mercado de commodities proporciona uma oportunidade de compra, baseada em um forte crescimento da demanda, em problemas na oferta e na queda dos estoques nos mercados de energia e metais. </w:t>
      </w:r>
    </w:p>
    <w:p w:rsidR="00985117" w:rsidRPr="006E3C42" w:rsidRDefault="00985117" w:rsidP="00985117">
      <w:pPr>
        <w:rPr>
          <w:color w:val="auto"/>
        </w:rPr>
      </w:pPr>
      <w:r w:rsidRPr="006E3C42">
        <w:rPr>
          <w:color w:val="auto"/>
        </w:rPr>
        <w:t xml:space="preserve">Conforme a Agência Internacional de Energia a oferta global de petróleo pode ser estressada ao limite devido a prolongadas interrupções de produção, à queda esperada nas exportações do Irã e ao declínio da produção na Venezuela. Por esses fatores, a China e a Índia, segundo e terceiro maiores consumidores do planeta, poderão enfrentar grandes desafios em encontrar alternativas de suprimento.  Segundo o Bank </w:t>
      </w:r>
      <w:proofErr w:type="spellStart"/>
      <w:r w:rsidRPr="006E3C42">
        <w:rPr>
          <w:color w:val="auto"/>
        </w:rPr>
        <w:t>of</w:t>
      </w:r>
      <w:proofErr w:type="spellEnd"/>
      <w:r w:rsidRPr="006E3C42">
        <w:rPr>
          <w:color w:val="auto"/>
        </w:rPr>
        <w:t xml:space="preserve"> </w:t>
      </w:r>
      <w:proofErr w:type="spellStart"/>
      <w:r w:rsidRPr="006E3C42">
        <w:rPr>
          <w:color w:val="auto"/>
        </w:rPr>
        <w:t>America</w:t>
      </w:r>
      <w:proofErr w:type="spellEnd"/>
      <w:r w:rsidRPr="006E3C42">
        <w:rPr>
          <w:color w:val="auto"/>
        </w:rPr>
        <w:t xml:space="preserve"> o petróleo pode chegar a US$ 100 o barril e até superar essa marca, já em 2019.</w:t>
      </w:r>
    </w:p>
    <w:p w:rsidR="006B0FB7" w:rsidRPr="006E3C42" w:rsidRDefault="006B0FB7" w:rsidP="007D7FE1">
      <w:pPr>
        <w:pStyle w:val="Ttulo3"/>
        <w:spacing w:after="240"/>
        <w:rPr>
          <w:color w:val="auto"/>
        </w:rPr>
      </w:pPr>
      <w:bookmarkStart w:id="22" w:name="_Toc521592788"/>
      <w:r w:rsidRPr="006E3C42">
        <w:rPr>
          <w:color w:val="auto"/>
        </w:rPr>
        <w:t>NACIONAL</w:t>
      </w:r>
      <w:bookmarkEnd w:id="22"/>
      <w:r w:rsidR="00985117" w:rsidRPr="006E3C42">
        <w:rPr>
          <w:color w:val="auto"/>
        </w:rPr>
        <w:t xml:space="preserve"> – 2° SEMESTRE DE 2018</w:t>
      </w:r>
    </w:p>
    <w:p w:rsidR="00C13C74" w:rsidRPr="006E3C42" w:rsidRDefault="00C13C74" w:rsidP="00C13C74">
      <w:pPr>
        <w:spacing w:after="0"/>
        <w:rPr>
          <w:b/>
          <w:color w:val="auto"/>
        </w:rPr>
      </w:pPr>
      <w:r w:rsidRPr="006E3C42">
        <w:rPr>
          <w:b/>
          <w:color w:val="auto"/>
        </w:rPr>
        <w:t>ATIVIDADE ECONÔMICA E EMPREGO</w:t>
      </w:r>
    </w:p>
    <w:p w:rsidR="00C13C74" w:rsidRPr="006E3C42" w:rsidRDefault="00C13C74" w:rsidP="00C13C74">
      <w:pPr>
        <w:rPr>
          <w:color w:val="auto"/>
        </w:rPr>
      </w:pPr>
      <w:r w:rsidRPr="006E3C42">
        <w:rPr>
          <w:color w:val="auto"/>
        </w:rPr>
        <w:t xml:space="preserve">Para o FMI, em projeção já divulgada no mês de julho, o PIB do Brasil irá crescer 1,8% em 2018 e 2,5% em 2019. Será um desempenho abaixo do potencial, com a dívida pública muito alta e subindo. As perspectivas no médio prazo continuam “não inspiradoras” em meio a ausência de reformas. “Como contraponto ao aperto das condições financeiras globais, o compromisso com a busca da consolidação fiscal, ambiciosas reformas estruturais e o fortalecimento da arquitetura do setor financeiro serão necessários para colocar o país em um caminho de forte, balanceado e duradouro crescimento”. </w:t>
      </w:r>
    </w:p>
    <w:p w:rsidR="00C13C74" w:rsidRPr="006E3C42" w:rsidRDefault="00C13C74" w:rsidP="00C13C74">
      <w:pPr>
        <w:rPr>
          <w:color w:val="auto"/>
        </w:rPr>
      </w:pPr>
      <w:r w:rsidRPr="006E3C42">
        <w:rPr>
          <w:color w:val="auto"/>
        </w:rPr>
        <w:t xml:space="preserve">Para o ministro da Fazenda o impacto da greve no crescimento deste ano deve ser reduzido, pois foi um choque de prazo curto. Mas mesmo assim, no Relatório Trimestral de Inflação o Banco Central estima a evolução do PIB de 2018 em 1,6%, frente a 2,6% no estudo anterior. Segundo Maria Silvia Bastos Marques, presidente do </w:t>
      </w:r>
      <w:r w:rsidRPr="006E3C42">
        <w:rPr>
          <w:color w:val="auto"/>
        </w:rPr>
        <w:lastRenderedPageBreak/>
        <w:t>Goldman Sachs no Brasil, a melhora da produtividade é uma das questões fundamentais para o crescimento sustentado do Brasil. “Muito se fala das reformas, mas o Brasil só vai crescer de forma sustentada se houver melhora da produtividade”.  Ela classificou como “desastre” os indicadores de produtividade do país comparado a outros e afirmou ser premente a melhora do ambiente de negócios no Brasil.</w:t>
      </w:r>
    </w:p>
    <w:p w:rsidR="00C13C74" w:rsidRPr="006E3C42" w:rsidRDefault="00C13C74" w:rsidP="00C13C74">
      <w:pPr>
        <w:rPr>
          <w:color w:val="auto"/>
        </w:rPr>
      </w:pPr>
      <w:r w:rsidRPr="006E3C42">
        <w:rPr>
          <w:color w:val="auto"/>
        </w:rPr>
        <w:t>Para a média dos economistas que militam no mercado financeiro, conforme a pesquisa conduzida pelo Banco Central e divulgada através do Relatório Focus, em sua edição de 13 de julho, a expectativa de crescimento do Brasil é de 1,50% em 2018 e de 2,50% em 2010.</w:t>
      </w:r>
    </w:p>
    <w:p w:rsidR="00C13C74" w:rsidRPr="006E3C42" w:rsidRDefault="00C13C74" w:rsidP="00C13C74">
      <w:pPr>
        <w:spacing w:after="0"/>
        <w:rPr>
          <w:b/>
          <w:color w:val="auto"/>
        </w:rPr>
      </w:pPr>
      <w:r w:rsidRPr="006E3C42">
        <w:rPr>
          <w:b/>
          <w:color w:val="auto"/>
        </w:rPr>
        <w:t>SETOR PÚBLICO</w:t>
      </w:r>
    </w:p>
    <w:p w:rsidR="00C13C74" w:rsidRPr="006E3C42" w:rsidRDefault="00C13C74" w:rsidP="00C13C74">
      <w:pPr>
        <w:rPr>
          <w:color w:val="auto"/>
        </w:rPr>
      </w:pPr>
      <w:r w:rsidRPr="006E3C42">
        <w:rPr>
          <w:color w:val="auto"/>
        </w:rPr>
        <w:t xml:space="preserve">De acordo com o boletim Prisma Fiscal de julho, divulgado pela Secretária de Política Econômica do Ministério da Fazenda, a mediana de previsões para o déficit fiscal deste ano passou de R$ 151,2 bilhões em junho, para R$ 149,6 bilhões neste mês. </w:t>
      </w:r>
    </w:p>
    <w:p w:rsidR="00C13C74" w:rsidRPr="006E3C42" w:rsidRDefault="00C13C74" w:rsidP="00C13C74">
      <w:pPr>
        <w:rPr>
          <w:color w:val="auto"/>
        </w:rPr>
      </w:pPr>
      <w:r w:rsidRPr="006E3C42">
        <w:rPr>
          <w:color w:val="auto"/>
        </w:rPr>
        <w:t>Já pelo projeto da Lei de Diretrizes Orçamentárias, aprovado no último dia 11 pelo Congresso Nacional, a previsão do déficit deste ano é de R$ 132 bilhões para o conjunto do setor público. O problema é que durante a votação, algumas medidas foram aprovadas no que se chamou pauta-bomba e que implicam juntamente com as medidas compensatórias tomadas pelo presidente Temer com a greve dos caminhoneiros, em cerca de R$ 100 bilhões a mais de despesas só em 2019. O ministério da Fazenda estima que o Tribunal de Contas da União possa conter a farra fiscal aprovada no Legislativo. É ver para crer.</w:t>
      </w:r>
    </w:p>
    <w:p w:rsidR="00C13C74" w:rsidRPr="006E3C42" w:rsidRDefault="00C13C74" w:rsidP="00C13C74">
      <w:pPr>
        <w:rPr>
          <w:color w:val="auto"/>
        </w:rPr>
      </w:pPr>
      <w:r w:rsidRPr="006E3C42">
        <w:rPr>
          <w:color w:val="auto"/>
        </w:rPr>
        <w:t>Outra importante questão fiscal a ser resolvida, é o cumprimento da chamada regra de ouro, que determina que as operações de crédito da União (endividamento) não podem ser maiores do que as despesas de capital (investimentos) em um determinado exercício. Nesse aspecto, o Tesouro Nacional prevê insuficiência de R$ 102,9 bilhões em 2018, descontada já a antecipação do pagamento de R$ 60 bilhões feito pelo BNDES, de R$ 260,2 bilhões para 2019 e de R$ 307,3 bilhões para 2020. Haja crescimento econômico para resolver isso.</w:t>
      </w:r>
    </w:p>
    <w:p w:rsidR="00C13C74" w:rsidRPr="006E3C42" w:rsidRDefault="00C13C74" w:rsidP="00C13C74">
      <w:pPr>
        <w:spacing w:after="0"/>
        <w:rPr>
          <w:b/>
          <w:color w:val="auto"/>
        </w:rPr>
      </w:pPr>
      <w:r w:rsidRPr="006E3C42">
        <w:rPr>
          <w:b/>
          <w:color w:val="auto"/>
        </w:rPr>
        <w:t>INFLAÇÃO</w:t>
      </w:r>
    </w:p>
    <w:p w:rsidR="00C13C74" w:rsidRPr="006E3C42" w:rsidRDefault="00C13C74" w:rsidP="00C13C74">
      <w:pPr>
        <w:rPr>
          <w:color w:val="auto"/>
        </w:rPr>
      </w:pPr>
      <w:r w:rsidRPr="006E3C42">
        <w:rPr>
          <w:color w:val="auto"/>
        </w:rPr>
        <w:t>Conforme o último Relatório Focus, o mercado financeiro estima que a inflação de 2018, medida através do IPCA, será de 4,15% e de 4,10% em 2019. Para o Banco Central, através do último Relatório Trimestral de Inflação, ela será de 4,20% neste ano, portanto, abaixo do centro da meta que é de 4,5%. Para 2019 estimou a variação do IPCA em 3,70%.</w:t>
      </w:r>
    </w:p>
    <w:p w:rsidR="00C13C74" w:rsidRPr="006E3C42" w:rsidRDefault="00C13C74" w:rsidP="00C13C74">
      <w:pPr>
        <w:rPr>
          <w:color w:val="auto"/>
        </w:rPr>
      </w:pPr>
      <w:r w:rsidRPr="006E3C42">
        <w:rPr>
          <w:color w:val="auto"/>
        </w:rPr>
        <w:t xml:space="preserve">Além do efeito do cambial nos preços, que ainda não é possível dimensionar exatamente, as contas de luz mais caras poderão elevar a inflação deste ano em até 0,5 ponto, se as condições hídricas não piorarem ainda mais. </w:t>
      </w:r>
    </w:p>
    <w:p w:rsidR="00C13C74" w:rsidRPr="006E3C42" w:rsidRDefault="00C13C74" w:rsidP="00C13C74">
      <w:pPr>
        <w:rPr>
          <w:color w:val="auto"/>
        </w:rPr>
      </w:pPr>
      <w:r w:rsidRPr="006E3C42">
        <w:rPr>
          <w:color w:val="auto"/>
        </w:rPr>
        <w:t xml:space="preserve">Conforme levantamento do banco </w:t>
      </w:r>
      <w:proofErr w:type="spellStart"/>
      <w:r w:rsidRPr="006E3C42">
        <w:rPr>
          <w:color w:val="auto"/>
        </w:rPr>
        <w:t>Credit</w:t>
      </w:r>
      <w:proofErr w:type="spellEnd"/>
      <w:r w:rsidRPr="006E3C42">
        <w:rPr>
          <w:color w:val="auto"/>
        </w:rPr>
        <w:t xml:space="preserve"> </w:t>
      </w:r>
      <w:proofErr w:type="spellStart"/>
      <w:r w:rsidRPr="006E3C42">
        <w:rPr>
          <w:color w:val="auto"/>
        </w:rPr>
        <w:t>Suisse</w:t>
      </w:r>
      <w:proofErr w:type="spellEnd"/>
      <w:r w:rsidRPr="006E3C42">
        <w:rPr>
          <w:color w:val="auto"/>
        </w:rPr>
        <w:t xml:space="preserve">, uma desvalorização do real de 10% no próximo ano poderia levar a variação do IPCA a 5%. Em condições normais, a cada 10% de desvalorização cambial, 0,7 ponto percentual é adicionado à inflação. </w:t>
      </w:r>
    </w:p>
    <w:p w:rsidR="00C13C74" w:rsidRPr="006E3C42" w:rsidRDefault="00C13C74" w:rsidP="00C13C74">
      <w:pPr>
        <w:rPr>
          <w:color w:val="auto"/>
        </w:rPr>
      </w:pPr>
      <w:r w:rsidRPr="006E3C42">
        <w:rPr>
          <w:color w:val="auto"/>
        </w:rPr>
        <w:t>É importante lembrarmos que, no final de junho, o Conselho Monetário nacional reduziu a meta de inflação em 2021 para 3,75%, com margem de tolerância de 1,5 ponto percentual para mais ou para menos.  Para 2019 a meta já tinha sido fixada em 4,25% e em 4% para 2020.</w:t>
      </w:r>
    </w:p>
    <w:p w:rsidR="00C13C74" w:rsidRPr="006E3C42" w:rsidRDefault="00C13C74" w:rsidP="00C13C74">
      <w:pPr>
        <w:spacing w:after="0"/>
        <w:rPr>
          <w:b/>
          <w:color w:val="auto"/>
        </w:rPr>
      </w:pPr>
      <w:r w:rsidRPr="006E3C42">
        <w:rPr>
          <w:b/>
          <w:color w:val="auto"/>
        </w:rPr>
        <w:t>JUROS</w:t>
      </w:r>
    </w:p>
    <w:p w:rsidR="00C13C74" w:rsidRPr="006E3C42" w:rsidRDefault="00C13C74" w:rsidP="00C13C74">
      <w:pPr>
        <w:rPr>
          <w:color w:val="auto"/>
        </w:rPr>
      </w:pPr>
      <w:r w:rsidRPr="006E3C42">
        <w:rPr>
          <w:color w:val="auto"/>
        </w:rPr>
        <w:t xml:space="preserve">Para o mercado financeiro, este ano </w:t>
      </w:r>
      <w:proofErr w:type="gramStart"/>
      <w:r w:rsidRPr="006E3C42">
        <w:rPr>
          <w:color w:val="auto"/>
        </w:rPr>
        <w:t>ira</w:t>
      </w:r>
      <w:proofErr w:type="gramEnd"/>
      <w:r w:rsidRPr="006E3C42">
        <w:rPr>
          <w:color w:val="auto"/>
        </w:rPr>
        <w:t xml:space="preserve"> terminar com a taxa Selic em 6,50% ao ano e no próximo em 8% ao ano. Para o ex-presidente do Banco Central, Carlos </w:t>
      </w:r>
      <w:proofErr w:type="spellStart"/>
      <w:r w:rsidRPr="006E3C42">
        <w:rPr>
          <w:color w:val="auto"/>
        </w:rPr>
        <w:t>Langoni</w:t>
      </w:r>
      <w:proofErr w:type="spellEnd"/>
      <w:r w:rsidRPr="006E3C42">
        <w:rPr>
          <w:color w:val="auto"/>
        </w:rPr>
        <w:t xml:space="preserve">, a taxa de juros de 6,50% não é sustentável no médio prazo, mesmo com a inflação baixa. O cenário externo está se deteriorando por conta do aumento dos juros nos EUA e da “guerra” cambial. </w:t>
      </w:r>
    </w:p>
    <w:p w:rsidR="00C13C74" w:rsidRPr="006E3C42" w:rsidRDefault="00C13C74" w:rsidP="00C13C74">
      <w:pPr>
        <w:rPr>
          <w:color w:val="auto"/>
        </w:rPr>
      </w:pPr>
      <w:r w:rsidRPr="006E3C42">
        <w:rPr>
          <w:color w:val="auto"/>
        </w:rPr>
        <w:t>Para o banco BTG Pactual, o ponto de equilíbrio da taxa básica de juros poderá ficar no próximo ano entre 7% e 8% ao ano caso seja eleito um presidente comprometido com reformas, ou entre 10% a 13% ao ano no caso contrário.</w:t>
      </w:r>
    </w:p>
    <w:p w:rsidR="00C13C74" w:rsidRPr="006E3C42" w:rsidRDefault="00C13C74" w:rsidP="00C13C74">
      <w:pPr>
        <w:spacing w:after="0"/>
        <w:rPr>
          <w:b/>
          <w:color w:val="auto"/>
        </w:rPr>
      </w:pPr>
      <w:r w:rsidRPr="006E3C42">
        <w:rPr>
          <w:b/>
          <w:color w:val="auto"/>
        </w:rPr>
        <w:t>CÂMBIO E SETOR EXTERNO</w:t>
      </w:r>
    </w:p>
    <w:p w:rsidR="00C13C74" w:rsidRPr="006E3C42" w:rsidRDefault="00C13C74" w:rsidP="00C13C74">
      <w:pPr>
        <w:rPr>
          <w:color w:val="auto"/>
        </w:rPr>
      </w:pPr>
      <w:r w:rsidRPr="006E3C42">
        <w:rPr>
          <w:color w:val="auto"/>
        </w:rPr>
        <w:t xml:space="preserve">O último Relatório Focus revelou que o mercado financeiro espera que o dólar esteja cotado a R$ 3,70 no final de 2018 e a R$ 3,68 no final de 2019. No entanto, assombrado pelo cenário externo, pelo presente da economia e pelo futuro eleitoral, o Brasil pode assistir a taxa de câmbio chegando aos R$ 5,00, ou mais, segundo alguns </w:t>
      </w:r>
      <w:r w:rsidRPr="006E3C42">
        <w:rPr>
          <w:color w:val="auto"/>
        </w:rPr>
        <w:lastRenderedPageBreak/>
        <w:t xml:space="preserve">analistas. Para o Bank </w:t>
      </w:r>
      <w:proofErr w:type="spellStart"/>
      <w:r w:rsidRPr="006E3C42">
        <w:rPr>
          <w:color w:val="auto"/>
        </w:rPr>
        <w:t>of</w:t>
      </w:r>
      <w:proofErr w:type="spellEnd"/>
      <w:r w:rsidRPr="006E3C42">
        <w:rPr>
          <w:color w:val="auto"/>
        </w:rPr>
        <w:t xml:space="preserve"> América, a cotação pode chegar a R$ 5,50 depois das eleições, pelas razões já anteriormente mencionadas. </w:t>
      </w:r>
    </w:p>
    <w:p w:rsidR="00C13C74" w:rsidRPr="006E3C42" w:rsidRDefault="00C13C74" w:rsidP="00C13C74">
      <w:pPr>
        <w:rPr>
          <w:color w:val="auto"/>
        </w:rPr>
      </w:pPr>
      <w:r w:rsidRPr="006E3C42">
        <w:rPr>
          <w:color w:val="auto"/>
        </w:rPr>
        <w:t xml:space="preserve">Em relação à Balança Comercial, o Relatório Focus estima um superávit de US$ 57,81 bilhões em 2018 e de US$ 49,30 bilhões em 2018.  Para o déficit em transações correntes, o mercado </w:t>
      </w:r>
      <w:proofErr w:type="gramStart"/>
      <w:r w:rsidRPr="006E3C42">
        <w:rPr>
          <w:color w:val="auto"/>
        </w:rPr>
        <w:t>o estima</w:t>
      </w:r>
      <w:proofErr w:type="gramEnd"/>
      <w:r w:rsidRPr="006E3C42">
        <w:rPr>
          <w:color w:val="auto"/>
        </w:rPr>
        <w:t xml:space="preserve"> em US$ 20 bilhões em 2018 e em US$ 34,1 bilhões em 2019. E finalmente para o Investimento Estrangeiro Direto – IED, a estimativa é de um ingresso de US$ 70 bilhões em 2087 e de US$ 74,65 em 2018. </w:t>
      </w:r>
    </w:p>
    <w:p w:rsidR="00C13C74" w:rsidRPr="006E3C42" w:rsidRDefault="00C13C74" w:rsidP="00C13C74">
      <w:pPr>
        <w:rPr>
          <w:color w:val="auto"/>
        </w:rPr>
      </w:pPr>
      <w:r w:rsidRPr="006E3C42">
        <w:rPr>
          <w:color w:val="auto"/>
        </w:rPr>
        <w:t xml:space="preserve">Na questão do comércio externo, a “guerra” comercial em curso é mais prejudicial ao Brasil do que benéfica. Além do país ser frontalmente afetado pelas restrições à siderurgia, o aumento da tensão comercial e a continuada valorização do dólar externamente pode reduzir o preço das commodities, atingindo em cheio as economias dependentes desses produtos, como a brasileira. </w:t>
      </w:r>
    </w:p>
    <w:p w:rsidR="00C13C74" w:rsidRPr="006E3C42" w:rsidRDefault="00C13C74" w:rsidP="00C13C74">
      <w:pPr>
        <w:rPr>
          <w:color w:val="auto"/>
        </w:rPr>
      </w:pPr>
      <w:r w:rsidRPr="006E3C42">
        <w:rPr>
          <w:color w:val="auto"/>
        </w:rPr>
        <w:t>O fato positivo é o de que o Brasil pode se tornar o mais importante parceiro estratégico da China, na medida em que é o único país com dimensão continental onde não há entraves políticos, de fronteira ou de supremacia como ocorre no caso da Rússia, Índia e EUA. “A China olha o Brasil como um país onde pode escoar capital, tecnologia e capacidade ociosa”, segundo Kevin Tang, diretor-executivo da Câmara de Comércio Brasil-China.</w:t>
      </w:r>
    </w:p>
    <w:p w:rsidR="00424A9C" w:rsidRPr="006E3C42" w:rsidRDefault="00424A9C" w:rsidP="00424A9C">
      <w:pPr>
        <w:rPr>
          <w:b/>
          <w:bCs/>
          <w:color w:val="auto"/>
          <w:szCs w:val="20"/>
        </w:rPr>
      </w:pPr>
      <w:r w:rsidRPr="006E3C42">
        <w:rPr>
          <w:b/>
          <w:bCs/>
          <w:color w:val="auto"/>
          <w:szCs w:val="20"/>
        </w:rPr>
        <w:t>MERCADO DE RENDA FIXA E RENDA VARIÁVEL</w:t>
      </w:r>
    </w:p>
    <w:p w:rsidR="00424A9C" w:rsidRPr="006E3C42" w:rsidRDefault="00424A9C" w:rsidP="00424A9C">
      <w:pPr>
        <w:spacing w:after="0"/>
        <w:rPr>
          <w:b/>
          <w:color w:val="auto"/>
        </w:rPr>
      </w:pPr>
      <w:r w:rsidRPr="006E3C42">
        <w:rPr>
          <w:b/>
          <w:color w:val="auto"/>
        </w:rPr>
        <w:t>RENDA FIXA</w:t>
      </w:r>
    </w:p>
    <w:p w:rsidR="00424A9C" w:rsidRPr="006E3C42" w:rsidRDefault="00424A9C" w:rsidP="00424A9C">
      <w:pPr>
        <w:rPr>
          <w:color w:val="auto"/>
        </w:rPr>
      </w:pPr>
      <w:r w:rsidRPr="006E3C42">
        <w:rPr>
          <w:color w:val="auto"/>
        </w:rPr>
        <w:t xml:space="preserve">É importante lembrarmos que, embora o presidente do Banco Central tenha mais de uma vez afirmado que a autoridade monetária não irá aumentar a taxa de juros para conter a alta do dólar, isso não significa que o mercado não possa fazê-lo, como ocorreu recentemente. Por mais que o BC disponibilize mais contratos de swap cambial ou venda dólares das reservas para acalmar as cotações, quando questões políticas ou externas estão envolvidas, as armas do BC e do Tesouro para enfrentar a crise são limitadas. Quando se fala em inflação e taxa de juros das aplicações financeiras, o fator câmbio está sendo altamente relevante.  </w:t>
      </w:r>
    </w:p>
    <w:p w:rsidR="00424A9C" w:rsidRPr="006E3C42" w:rsidRDefault="00424A9C" w:rsidP="00424A9C">
      <w:pPr>
        <w:spacing w:after="0"/>
        <w:rPr>
          <w:b/>
          <w:color w:val="auto"/>
        </w:rPr>
      </w:pPr>
      <w:r w:rsidRPr="006E3C42">
        <w:rPr>
          <w:b/>
          <w:color w:val="auto"/>
        </w:rPr>
        <w:t>RENDA VARIÁVEL</w:t>
      </w:r>
    </w:p>
    <w:p w:rsidR="00424A9C" w:rsidRPr="006E3C42" w:rsidRDefault="00424A9C" w:rsidP="00424A9C">
      <w:pPr>
        <w:rPr>
          <w:color w:val="auto"/>
        </w:rPr>
      </w:pPr>
      <w:r w:rsidRPr="006E3C42">
        <w:rPr>
          <w:color w:val="auto"/>
        </w:rPr>
        <w:t>Diante de todas as incertezas expostas, é complicado o cenário para a bolsa no curto prazo. No entanto, as ações brasileiras estão relativamente baratas e no médio e longo prazo têm bom potencial de alta, que poderá ser mais ou menos expressiva conforme o resultado das eleições presidenciais. E como alternativa de investimento para aqueles que contam com o tempo ao seu favor, é uma aplicação indispensável.</w:t>
      </w:r>
    </w:p>
    <w:p w:rsidR="00424A9C" w:rsidRPr="006E3C42" w:rsidRDefault="00424A9C" w:rsidP="00424A9C">
      <w:pPr>
        <w:rPr>
          <w:color w:val="auto"/>
        </w:rPr>
      </w:pPr>
      <w:r w:rsidRPr="006E3C42">
        <w:rPr>
          <w:color w:val="auto"/>
        </w:rPr>
        <w:t>Merece também especial atenção o investimento em fundos imobiliários, ativo com alto potencial de retorno, dependendo da evolução dos acontecimentos.</w:t>
      </w:r>
    </w:p>
    <w:p w:rsidR="006B0FB7" w:rsidRPr="006E3C42" w:rsidRDefault="006B0FB7" w:rsidP="00226B7B">
      <w:pPr>
        <w:pStyle w:val="Ttulo2"/>
        <w:rPr>
          <w:color w:val="auto"/>
        </w:rPr>
      </w:pPr>
      <w:bookmarkStart w:id="23" w:name="_Toc496794731"/>
      <w:bookmarkStart w:id="24" w:name="_Toc496794732"/>
      <w:bookmarkStart w:id="25" w:name="_Toc496794733"/>
      <w:bookmarkStart w:id="26" w:name="_Toc496794734"/>
      <w:bookmarkStart w:id="27" w:name="_Toc496794735"/>
      <w:bookmarkStart w:id="28" w:name="_Toc496794736"/>
      <w:bookmarkStart w:id="29" w:name="_Toc496794737"/>
      <w:bookmarkStart w:id="30" w:name="_Toc496794738"/>
      <w:bookmarkStart w:id="31" w:name="_Toc496794739"/>
      <w:bookmarkStart w:id="32" w:name="_Toc496794740"/>
      <w:bookmarkStart w:id="33" w:name="_Toc496794741"/>
      <w:bookmarkStart w:id="34" w:name="_Toc496794742"/>
      <w:bookmarkStart w:id="35" w:name="_Toc496794743"/>
      <w:bookmarkStart w:id="36" w:name="_Toc496794744"/>
      <w:bookmarkStart w:id="37" w:name="_Toc496794745"/>
      <w:bookmarkStart w:id="38" w:name="_Toc496794746"/>
      <w:bookmarkStart w:id="39" w:name="_Toc496794747"/>
      <w:bookmarkStart w:id="40" w:name="_Toc496794748"/>
      <w:bookmarkStart w:id="41" w:name="_Toc496794749"/>
      <w:bookmarkStart w:id="42" w:name="_Toc496794750"/>
      <w:bookmarkStart w:id="43" w:name="_Toc496794751"/>
      <w:bookmarkStart w:id="44" w:name="_Toc496794752"/>
      <w:bookmarkStart w:id="45" w:name="_Toc496794753"/>
      <w:bookmarkStart w:id="46" w:name="_Toc496794754"/>
      <w:bookmarkStart w:id="47" w:name="_Toc496794755"/>
      <w:bookmarkStart w:id="48" w:name="_Toc496794756"/>
      <w:bookmarkStart w:id="49" w:name="_Toc496794757"/>
      <w:bookmarkStart w:id="50" w:name="_Toc496794758"/>
      <w:bookmarkStart w:id="51" w:name="_Toc496794759"/>
      <w:bookmarkStart w:id="52" w:name="_Toc496794760"/>
      <w:bookmarkStart w:id="53" w:name="_Toc496794761"/>
      <w:bookmarkStart w:id="54" w:name="_Toc496794762"/>
      <w:bookmarkStart w:id="55" w:name="_Toc496794763"/>
      <w:bookmarkStart w:id="56" w:name="_Toc490036545"/>
      <w:bookmarkStart w:id="57" w:name="_Toc52159278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E3C42">
        <w:rPr>
          <w:color w:val="auto"/>
        </w:rPr>
        <w:t>EXPECTATIVAS DE MERCADO</w:t>
      </w:r>
      <w:bookmarkEnd w:id="56"/>
      <w:bookmarkEnd w:id="57"/>
    </w:p>
    <w:p w:rsidR="00424A9C" w:rsidRPr="006E3C42" w:rsidRDefault="00424A9C" w:rsidP="00DB224E">
      <w:pPr>
        <w:spacing w:after="0"/>
        <w:jc w:val="center"/>
        <w:rPr>
          <w:color w:val="auto"/>
        </w:rPr>
      </w:pPr>
      <w:r w:rsidRPr="006E3C42">
        <w:rPr>
          <w:noProof/>
          <w:color w:val="auto"/>
          <w:lang w:eastAsia="pt-BR"/>
        </w:rPr>
        <w:drawing>
          <wp:inline distT="0" distB="0" distL="0" distR="0" wp14:anchorId="045D64A6" wp14:editId="3A35A406">
            <wp:extent cx="3600000" cy="1222266"/>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1222266"/>
                    </a:xfrm>
                    <a:prstGeom prst="rect">
                      <a:avLst/>
                    </a:prstGeom>
                    <a:noFill/>
                    <a:ln>
                      <a:noFill/>
                    </a:ln>
                  </pic:spPr>
                </pic:pic>
              </a:graphicData>
            </a:graphic>
          </wp:inline>
        </w:drawing>
      </w:r>
    </w:p>
    <w:p w:rsidR="00DB224E" w:rsidRPr="006E3C42" w:rsidRDefault="00DB224E" w:rsidP="00DB224E">
      <w:pPr>
        <w:spacing w:after="0"/>
        <w:ind w:left="1416"/>
        <w:rPr>
          <w:color w:val="auto"/>
          <w:sz w:val="12"/>
        </w:rPr>
      </w:pPr>
      <w:bookmarkStart w:id="58" w:name="_Toc435202741"/>
      <w:r w:rsidRPr="006E3C42">
        <w:rPr>
          <w:color w:val="auto"/>
          <w:sz w:val="12"/>
        </w:rPr>
        <w:t xml:space="preserve">           https://www.bcb.gov.br/pec/GCI/PORT/readout/R20180817.pdf (2018.08_21)</w:t>
      </w:r>
    </w:p>
    <w:p w:rsidR="00BA3136" w:rsidRPr="006E3C42" w:rsidRDefault="00BA3136">
      <w:pPr>
        <w:rPr>
          <w:bCs/>
          <w:color w:val="auto"/>
          <w:szCs w:val="20"/>
        </w:rPr>
      </w:pPr>
      <w:r w:rsidRPr="006E3C42">
        <w:rPr>
          <w:bCs/>
          <w:color w:val="auto"/>
          <w:szCs w:val="20"/>
        </w:rPr>
        <w:br w:type="page"/>
      </w:r>
    </w:p>
    <w:p w:rsidR="006B0FB7" w:rsidRPr="006E3C42" w:rsidRDefault="006B0FB7" w:rsidP="006B0FB7">
      <w:pPr>
        <w:pStyle w:val="Ttulo1"/>
        <w:rPr>
          <w:color w:val="auto"/>
        </w:rPr>
      </w:pPr>
      <w:bookmarkStart w:id="59" w:name="_Toc490036546"/>
      <w:bookmarkStart w:id="60" w:name="_Toc521592790"/>
      <w:r w:rsidRPr="006E3C42">
        <w:rPr>
          <w:color w:val="auto"/>
        </w:rPr>
        <w:lastRenderedPageBreak/>
        <w:t>ALOCAÇÃO ESTRATÉGICA DOS RECURSOS</w:t>
      </w:r>
      <w:bookmarkEnd w:id="58"/>
      <w:bookmarkEnd w:id="59"/>
      <w:bookmarkEnd w:id="60"/>
    </w:p>
    <w:p w:rsidR="006B0FB7" w:rsidRPr="006E3C42" w:rsidRDefault="006B0FB7" w:rsidP="006B0FB7">
      <w:pPr>
        <w:spacing w:beforeLines="120" w:before="288" w:after="0" w:line="240" w:lineRule="auto"/>
        <w:rPr>
          <w:bCs/>
          <w:color w:val="auto"/>
          <w:szCs w:val="20"/>
        </w:rPr>
      </w:pPr>
      <w:r w:rsidRPr="006E3C42">
        <w:rPr>
          <w:bCs/>
          <w:color w:val="auto"/>
          <w:szCs w:val="20"/>
        </w:rPr>
        <w:t>Na aplicação dos recursos, os responsáveis pela gestão do RPPS devem observar os limites estabelecidos por esta Política de Investimentos e pela Resolução CMN nº 3.922/2010. Limites estabelecidos mediante estudo do cenário macroeconômico atual e de perspectivas futuras, com as hipóteses razoáveis de realização no curto e médio prazo, conforme descrito abaixo:</w:t>
      </w:r>
    </w:p>
    <w:p w:rsidR="006B0FB7" w:rsidRPr="006E3C42" w:rsidRDefault="006B0FB7" w:rsidP="006B0FB7">
      <w:pPr>
        <w:spacing w:beforeLines="120" w:before="288" w:after="0" w:line="240" w:lineRule="auto"/>
        <w:jc w:val="center"/>
        <w:rPr>
          <w:b/>
          <w:bCs/>
          <w:color w:val="auto"/>
          <w:szCs w:val="20"/>
        </w:rPr>
      </w:pPr>
      <w:r w:rsidRPr="006E3C42">
        <w:rPr>
          <w:b/>
          <w:bCs/>
          <w:color w:val="auto"/>
          <w:szCs w:val="20"/>
        </w:rPr>
        <w:t xml:space="preserve">Alocação Estratégica para o exercício de </w:t>
      </w:r>
      <w:r w:rsidR="00CB3977" w:rsidRPr="006E3C42">
        <w:rPr>
          <w:b/>
          <w:bCs/>
          <w:color w:val="auto"/>
          <w:szCs w:val="20"/>
        </w:rPr>
        <w:t>2019</w:t>
      </w:r>
    </w:p>
    <w:p w:rsidR="00C77896" w:rsidRPr="006E3C42" w:rsidRDefault="00C77896" w:rsidP="006B0FB7">
      <w:pPr>
        <w:spacing w:beforeLines="120" w:before="288" w:after="0" w:line="240" w:lineRule="auto"/>
        <w:jc w:val="center"/>
        <w:rPr>
          <w:b/>
          <w:bCs/>
          <w:color w:val="auto"/>
          <w:szCs w:val="20"/>
        </w:rPr>
      </w:pPr>
    </w:p>
    <w:tbl>
      <w:tblPr>
        <w:tblW w:w="5000" w:type="pct"/>
        <w:tblCellMar>
          <w:left w:w="70" w:type="dxa"/>
          <w:right w:w="70" w:type="dxa"/>
        </w:tblCellMar>
        <w:tblLook w:val="04A0" w:firstRow="1" w:lastRow="0" w:firstColumn="1" w:lastColumn="0" w:noHBand="0" w:noVBand="1"/>
      </w:tblPr>
      <w:tblGrid>
        <w:gridCol w:w="727"/>
        <w:gridCol w:w="4396"/>
        <w:gridCol w:w="1262"/>
        <w:gridCol w:w="942"/>
        <w:gridCol w:w="943"/>
        <w:gridCol w:w="941"/>
      </w:tblGrid>
      <w:tr w:rsidR="006E3C42" w:rsidRPr="006E3C42" w:rsidTr="000F34EF">
        <w:trPr>
          <w:trHeight w:val="555"/>
        </w:trPr>
        <w:tc>
          <w:tcPr>
            <w:tcW w:w="377" w:type="pct"/>
            <w:tcBorders>
              <w:top w:val="nil"/>
              <w:left w:val="nil"/>
              <w:bottom w:val="nil"/>
              <w:right w:val="nil"/>
            </w:tcBorders>
            <w:shd w:val="clear" w:color="auto" w:fill="auto"/>
            <w:noWrap/>
            <w:vAlign w:val="bottom"/>
            <w:hideMark/>
          </w:tcPr>
          <w:p w:rsidR="00B829E0" w:rsidRPr="006E3C42" w:rsidRDefault="00B829E0" w:rsidP="00B829E0">
            <w:pPr>
              <w:spacing w:after="0" w:line="240" w:lineRule="auto"/>
              <w:jc w:val="left"/>
              <w:rPr>
                <w:rFonts w:ascii="Times New Roman" w:eastAsia="Times New Roman" w:hAnsi="Times New Roman" w:cs="Times New Roman"/>
                <w:color w:val="auto"/>
                <w:sz w:val="14"/>
                <w:szCs w:val="24"/>
                <w:lang w:eastAsia="pt-BR"/>
              </w:rPr>
            </w:pPr>
          </w:p>
        </w:tc>
        <w:tc>
          <w:tcPr>
            <w:tcW w:w="2390" w:type="pct"/>
            <w:tcBorders>
              <w:top w:val="nil"/>
              <w:left w:val="nil"/>
              <w:bottom w:val="nil"/>
              <w:right w:val="nil"/>
            </w:tcBorders>
            <w:shd w:val="clear" w:color="auto" w:fill="auto"/>
            <w:noWrap/>
            <w:vAlign w:val="bottom"/>
            <w:hideMark/>
          </w:tcPr>
          <w:p w:rsidR="00B829E0" w:rsidRPr="006E3C42" w:rsidRDefault="00B829E0" w:rsidP="00B829E0">
            <w:pPr>
              <w:spacing w:after="0" w:line="240" w:lineRule="auto"/>
              <w:jc w:val="left"/>
              <w:rPr>
                <w:rFonts w:ascii="Times New Roman" w:eastAsia="Times New Roman" w:hAnsi="Times New Roman" w:cs="Times New Roman"/>
                <w:color w:val="auto"/>
                <w:sz w:val="14"/>
                <w:szCs w:val="20"/>
                <w:lang w:eastAsia="pt-BR"/>
              </w:rPr>
            </w:pPr>
          </w:p>
        </w:tc>
        <w:tc>
          <w:tcPr>
            <w:tcW w:w="689" w:type="pct"/>
            <w:tcBorders>
              <w:top w:val="nil"/>
              <w:left w:val="nil"/>
              <w:bottom w:val="nil"/>
              <w:right w:val="nil"/>
            </w:tcBorders>
            <w:shd w:val="clear" w:color="auto" w:fill="auto"/>
            <w:noWrap/>
            <w:vAlign w:val="bottom"/>
            <w:hideMark/>
          </w:tcPr>
          <w:p w:rsidR="00B829E0" w:rsidRPr="006E3C42" w:rsidRDefault="00B829E0" w:rsidP="00B829E0">
            <w:pPr>
              <w:spacing w:after="0" w:line="240" w:lineRule="auto"/>
              <w:jc w:val="left"/>
              <w:rPr>
                <w:rFonts w:ascii="Times New Roman" w:eastAsia="Times New Roman" w:hAnsi="Times New Roman" w:cs="Times New Roman"/>
                <w:color w:val="auto"/>
                <w:sz w:val="14"/>
                <w:szCs w:val="20"/>
                <w:lang w:eastAsia="pt-BR"/>
              </w:rPr>
            </w:pPr>
          </w:p>
        </w:tc>
        <w:tc>
          <w:tcPr>
            <w:tcW w:w="154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Estratégia de Alocação - Política de Investimento de 201</w:t>
            </w:r>
            <w:r w:rsidR="00CA4E32" w:rsidRPr="006E3C42">
              <w:rPr>
                <w:rFonts w:ascii="Calibri" w:eastAsia="Times New Roman" w:hAnsi="Calibri" w:cs="Times New Roman"/>
                <w:b/>
                <w:bCs/>
                <w:color w:val="auto"/>
                <w:sz w:val="14"/>
                <w:szCs w:val="16"/>
                <w:lang w:eastAsia="pt-BR"/>
              </w:rPr>
              <w:t>9</w:t>
            </w:r>
          </w:p>
        </w:tc>
      </w:tr>
      <w:tr w:rsidR="006E3C42" w:rsidRPr="006E3C42" w:rsidTr="00B829E0">
        <w:trPr>
          <w:trHeight w:val="465"/>
        </w:trPr>
        <w:tc>
          <w:tcPr>
            <w:tcW w:w="377"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Segmento</w:t>
            </w:r>
          </w:p>
        </w:tc>
        <w:tc>
          <w:tcPr>
            <w:tcW w:w="2390" w:type="pct"/>
            <w:tcBorders>
              <w:top w:val="single" w:sz="8" w:space="0" w:color="auto"/>
              <w:left w:val="nil"/>
              <w:bottom w:val="single" w:sz="8" w:space="0" w:color="auto"/>
              <w:right w:val="single" w:sz="4" w:space="0" w:color="auto"/>
            </w:tcBorders>
            <w:shd w:val="clear" w:color="000000" w:fill="D9D9D9"/>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Tipo de Ativo</w:t>
            </w:r>
          </w:p>
        </w:tc>
        <w:tc>
          <w:tcPr>
            <w:tcW w:w="689" w:type="pct"/>
            <w:tcBorders>
              <w:top w:val="single" w:sz="8" w:space="0" w:color="auto"/>
              <w:left w:val="nil"/>
              <w:bottom w:val="single" w:sz="8" w:space="0" w:color="auto"/>
              <w:right w:val="single" w:sz="4" w:space="0" w:color="auto"/>
            </w:tcBorders>
            <w:shd w:val="clear" w:color="000000" w:fill="D9D9D9"/>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Limite da Resolução CMN %</w:t>
            </w:r>
          </w:p>
        </w:tc>
        <w:tc>
          <w:tcPr>
            <w:tcW w:w="515" w:type="pct"/>
            <w:tcBorders>
              <w:top w:val="nil"/>
              <w:left w:val="single" w:sz="8" w:space="0" w:color="auto"/>
              <w:bottom w:val="single" w:sz="8" w:space="0" w:color="auto"/>
              <w:right w:val="single" w:sz="4" w:space="0" w:color="auto"/>
            </w:tcBorders>
            <w:shd w:val="clear" w:color="000000" w:fill="D9D9D9"/>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Limite Inferior (%)</w:t>
            </w:r>
          </w:p>
        </w:tc>
        <w:tc>
          <w:tcPr>
            <w:tcW w:w="515" w:type="pct"/>
            <w:tcBorders>
              <w:top w:val="nil"/>
              <w:left w:val="nil"/>
              <w:bottom w:val="single" w:sz="8" w:space="0" w:color="auto"/>
              <w:right w:val="single" w:sz="4" w:space="0" w:color="auto"/>
            </w:tcBorders>
            <w:shd w:val="clear" w:color="000000" w:fill="D9D9D9"/>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Estratégia Alvo (%)</w:t>
            </w:r>
          </w:p>
        </w:tc>
        <w:tc>
          <w:tcPr>
            <w:tcW w:w="515" w:type="pct"/>
            <w:tcBorders>
              <w:top w:val="nil"/>
              <w:left w:val="nil"/>
              <w:bottom w:val="single" w:sz="8" w:space="0" w:color="auto"/>
              <w:right w:val="single" w:sz="8" w:space="0" w:color="auto"/>
            </w:tcBorders>
            <w:shd w:val="clear" w:color="000000" w:fill="D9D9D9"/>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Limite Superior (%)</w:t>
            </w:r>
          </w:p>
        </w:tc>
      </w:tr>
      <w:tr w:rsidR="006E3C42" w:rsidRPr="006E3C42" w:rsidTr="00B829E0">
        <w:trPr>
          <w:trHeight w:val="300"/>
        </w:trPr>
        <w:tc>
          <w:tcPr>
            <w:tcW w:w="377" w:type="pct"/>
            <w:vMerge w:val="restart"/>
            <w:tcBorders>
              <w:top w:val="nil"/>
              <w:left w:val="single" w:sz="8" w:space="0" w:color="auto"/>
              <w:bottom w:val="single" w:sz="8" w:space="0" w:color="000000"/>
              <w:right w:val="single" w:sz="8" w:space="0" w:color="auto"/>
            </w:tcBorders>
            <w:shd w:val="clear" w:color="000000" w:fill="D9D9D9"/>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Renda Fixa</w:t>
            </w: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Títulos Tesouro Nacional – SELIC - Art. 7º, I, “a”.</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Referenciados em 100% títulos TN - Art. 7º, I, "b"</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15,00%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7B0E6F"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45</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70,00%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Referenciados em Índice de Renda Fixa, 100% títulos TN - Art. 7°, I "c"</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proofErr w:type="gramStart"/>
            <w:r w:rsidRPr="006E3C42">
              <w:rPr>
                <w:rFonts w:ascii="Calibri" w:eastAsia="Times New Roman" w:hAnsi="Calibri" w:cs="Times New Roman"/>
                <w:color w:val="auto"/>
                <w:sz w:val="14"/>
                <w:szCs w:val="16"/>
                <w:lang w:eastAsia="pt-BR"/>
              </w:rPr>
              <w:t>Operações Compromissadas</w:t>
            </w:r>
            <w:proofErr w:type="gramEnd"/>
            <w:r w:rsidRPr="006E3C42">
              <w:rPr>
                <w:rFonts w:ascii="Calibri" w:eastAsia="Times New Roman" w:hAnsi="Calibri" w:cs="Times New Roman"/>
                <w:color w:val="auto"/>
                <w:sz w:val="14"/>
                <w:szCs w:val="16"/>
                <w:lang w:eastAsia="pt-BR"/>
              </w:rPr>
              <w:t xml:space="preserve"> em títulos TN - Art. 7º, II</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Referenciados RF - Art. 7º, III, Alínea “a”</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60,00%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7B0E6F"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60,00%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Índices Referenciado RF- Art. 7º, III, Alínea “b”</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60,00%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Renda Fixa - Art. 7º, IV, Alínea “a”</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40,00%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516E88"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35</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40,00%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Índices Renda Fixa - Art. 7º, IV, Alínea “b”</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40,00%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Letras Imobiliárias Garantidas - Art. 7º, V, Alínea “b”</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Certificados de Depósitos Bancários - Art. 7º, VI, Alínea "a"</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15,00%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Depósito em Poupança - Art. 7º, VI, Alínea "b"</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em Direitos Creditórios - sênior Art. 7º, VII, "a"</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516E88"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Renda Fixa "Crédito Privado"- Art. 7º, VII, "b"</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B829E0">
        <w:trPr>
          <w:trHeight w:val="315"/>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Debêntures Infraestrutura - Art. 7º, VII, "c"</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B829E0">
        <w:trPr>
          <w:trHeight w:val="315"/>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single" w:sz="8" w:space="0" w:color="auto"/>
              <w:left w:val="nil"/>
              <w:bottom w:val="single" w:sz="8" w:space="0" w:color="auto"/>
              <w:right w:val="single" w:sz="4" w:space="0" w:color="auto"/>
            </w:tcBorders>
            <w:shd w:val="clear" w:color="000000" w:fill="D9D9D9"/>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Subtotal</w:t>
            </w:r>
          </w:p>
        </w:tc>
        <w:tc>
          <w:tcPr>
            <w:tcW w:w="689" w:type="pct"/>
            <w:tcBorders>
              <w:top w:val="single" w:sz="8" w:space="0" w:color="auto"/>
              <w:left w:val="nil"/>
              <w:bottom w:val="single" w:sz="8" w:space="0" w:color="auto"/>
              <w:right w:val="single" w:sz="4" w:space="0" w:color="auto"/>
            </w:tcBorders>
            <w:shd w:val="clear" w:color="000000" w:fill="D9D9D9"/>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570,00%</w:t>
            </w:r>
          </w:p>
        </w:tc>
        <w:tc>
          <w:tcPr>
            <w:tcW w:w="515"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B829E0" w:rsidRPr="006E3C42" w:rsidRDefault="007B0E6F"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27</w:t>
            </w:r>
            <w:r w:rsidR="00B829E0" w:rsidRPr="006E3C42">
              <w:rPr>
                <w:rFonts w:ascii="Calibri" w:eastAsia="Times New Roman" w:hAnsi="Calibri" w:cs="Times New Roman"/>
                <w:b/>
                <w:bCs/>
                <w:color w:val="auto"/>
                <w:sz w:val="14"/>
                <w:szCs w:val="16"/>
                <w:lang w:eastAsia="pt-BR"/>
              </w:rPr>
              <w:t>,00%</w:t>
            </w:r>
          </w:p>
        </w:tc>
        <w:tc>
          <w:tcPr>
            <w:tcW w:w="515" w:type="pct"/>
            <w:tcBorders>
              <w:top w:val="single" w:sz="8" w:space="0" w:color="auto"/>
              <w:left w:val="nil"/>
              <w:bottom w:val="single" w:sz="8" w:space="0" w:color="auto"/>
              <w:right w:val="single" w:sz="4" w:space="0" w:color="auto"/>
            </w:tcBorders>
            <w:shd w:val="clear" w:color="000000" w:fill="D9D9D9"/>
            <w:noWrap/>
            <w:vAlign w:val="center"/>
            <w:hideMark/>
          </w:tcPr>
          <w:p w:rsidR="00B829E0" w:rsidRPr="006E3C42" w:rsidRDefault="007B0E6F"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85</w:t>
            </w:r>
            <w:r w:rsidR="00B829E0" w:rsidRPr="006E3C42">
              <w:rPr>
                <w:rFonts w:ascii="Calibri" w:eastAsia="Times New Roman" w:hAnsi="Calibri" w:cs="Times New Roman"/>
                <w:b/>
                <w:bCs/>
                <w:color w:val="auto"/>
                <w:sz w:val="14"/>
                <w:szCs w:val="16"/>
                <w:lang w:eastAsia="pt-BR"/>
              </w:rPr>
              <w:t>,00%</w:t>
            </w:r>
          </w:p>
        </w:tc>
        <w:tc>
          <w:tcPr>
            <w:tcW w:w="515" w:type="pct"/>
            <w:tcBorders>
              <w:top w:val="single" w:sz="8" w:space="0" w:color="auto"/>
              <w:left w:val="nil"/>
              <w:bottom w:val="single" w:sz="8" w:space="0" w:color="auto"/>
              <w:right w:val="single" w:sz="8" w:space="0" w:color="auto"/>
            </w:tcBorders>
            <w:shd w:val="clear" w:color="000000" w:fill="D9D9D9"/>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200,00%</w:t>
            </w:r>
          </w:p>
        </w:tc>
      </w:tr>
      <w:tr w:rsidR="006E3C42" w:rsidRPr="006E3C42" w:rsidTr="00B829E0">
        <w:trPr>
          <w:trHeight w:val="300"/>
        </w:trPr>
        <w:tc>
          <w:tcPr>
            <w:tcW w:w="377" w:type="pct"/>
            <w:vMerge w:val="restart"/>
            <w:tcBorders>
              <w:top w:val="nil"/>
              <w:left w:val="single" w:sz="8" w:space="0" w:color="auto"/>
              <w:bottom w:val="single" w:sz="8" w:space="0" w:color="000000"/>
              <w:right w:val="single" w:sz="8" w:space="0" w:color="auto"/>
            </w:tcBorders>
            <w:shd w:val="clear" w:color="000000" w:fill="D9D9D9"/>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Renda Variável</w:t>
            </w: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Referenciados em Renda Variável - Art. 8º, I, "a"</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30,00%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7B0E6F"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Índices Referenciados em Renda Variável- Art. 8º, I, "b"</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30,00%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em Ações - Art. 8º, II, "a"</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7B0E6F"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7B0E6F" w:rsidP="007B0E6F">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3</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em Índices de Ações - Art. 8º, II, "b"</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Multimercado - Art. 8º, III</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7B0E6F"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7B0E6F" w:rsidP="007B0E6F">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3</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w:t>
            </w:r>
          </w:p>
        </w:tc>
      </w:tr>
      <w:tr w:rsidR="006E3C42" w:rsidRPr="006E3C42" w:rsidTr="00B829E0">
        <w:trPr>
          <w:trHeight w:val="300"/>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 xml:space="preserve">FI em </w:t>
            </w:r>
            <w:proofErr w:type="gramStart"/>
            <w:r w:rsidRPr="006E3C42">
              <w:rPr>
                <w:rFonts w:ascii="Calibri" w:eastAsia="Times New Roman" w:hAnsi="Calibri" w:cs="Times New Roman"/>
                <w:color w:val="auto"/>
                <w:sz w:val="14"/>
                <w:szCs w:val="16"/>
                <w:lang w:eastAsia="pt-BR"/>
              </w:rPr>
              <w:t>Participações  -</w:t>
            </w:r>
            <w:proofErr w:type="gramEnd"/>
            <w:r w:rsidRPr="006E3C42">
              <w:rPr>
                <w:rFonts w:ascii="Calibri" w:eastAsia="Times New Roman" w:hAnsi="Calibri" w:cs="Times New Roman"/>
                <w:color w:val="auto"/>
                <w:sz w:val="14"/>
                <w:szCs w:val="16"/>
                <w:lang w:eastAsia="pt-BR"/>
              </w:rPr>
              <w:t xml:space="preserve"> Art. 8º, IV, "a"</w:t>
            </w:r>
          </w:p>
        </w:tc>
        <w:tc>
          <w:tcPr>
            <w:tcW w:w="689" w:type="pct"/>
            <w:tcBorders>
              <w:top w:val="nil"/>
              <w:left w:val="nil"/>
              <w:bottom w:val="single" w:sz="4" w:space="0" w:color="auto"/>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829E0" w:rsidRPr="006E3C42" w:rsidRDefault="007B0E6F"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829E0" w:rsidRPr="006E3C42" w:rsidRDefault="007B0E6F"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B829E0">
        <w:trPr>
          <w:trHeight w:val="315"/>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nil"/>
              <w:left w:val="nil"/>
              <w:bottom w:val="nil"/>
              <w:right w:val="single" w:sz="4" w:space="0" w:color="auto"/>
            </w:tcBorders>
            <w:shd w:val="clear" w:color="auto" w:fill="auto"/>
            <w:noWrap/>
            <w:vAlign w:val="bottom"/>
            <w:hideMark/>
          </w:tcPr>
          <w:p w:rsidR="00B829E0" w:rsidRPr="006E3C42" w:rsidRDefault="00B829E0" w:rsidP="00B829E0">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Imobiliário - Art. 8º, IV, "b"</w:t>
            </w:r>
          </w:p>
        </w:tc>
        <w:tc>
          <w:tcPr>
            <w:tcW w:w="689" w:type="pct"/>
            <w:tcBorders>
              <w:top w:val="nil"/>
              <w:left w:val="nil"/>
              <w:bottom w:val="nil"/>
              <w:right w:val="single" w:sz="4" w:space="0" w:color="auto"/>
            </w:tcBorders>
            <w:shd w:val="clear" w:color="auto" w:fill="auto"/>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515" w:type="pct"/>
            <w:tcBorders>
              <w:top w:val="nil"/>
              <w:left w:val="single" w:sz="8" w:space="0" w:color="auto"/>
              <w:bottom w:val="nil"/>
              <w:right w:val="single" w:sz="4" w:space="0" w:color="auto"/>
            </w:tcBorders>
            <w:shd w:val="clear" w:color="000000" w:fill="F2F2F2"/>
            <w:noWrap/>
            <w:vAlign w:val="center"/>
            <w:hideMark/>
          </w:tcPr>
          <w:p w:rsidR="00B829E0" w:rsidRPr="006E3C42" w:rsidRDefault="007B0E6F"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B829E0" w:rsidRPr="006E3C42">
              <w:rPr>
                <w:rFonts w:ascii="Calibri" w:eastAsia="Times New Roman" w:hAnsi="Calibri" w:cs="Times New Roman"/>
                <w:color w:val="auto"/>
                <w:sz w:val="14"/>
                <w:szCs w:val="16"/>
                <w:lang w:eastAsia="pt-BR"/>
              </w:rPr>
              <w:t>,00%</w:t>
            </w:r>
          </w:p>
        </w:tc>
        <w:tc>
          <w:tcPr>
            <w:tcW w:w="515" w:type="pct"/>
            <w:tcBorders>
              <w:top w:val="nil"/>
              <w:left w:val="nil"/>
              <w:bottom w:val="nil"/>
              <w:right w:val="single" w:sz="4"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515" w:type="pct"/>
            <w:tcBorders>
              <w:top w:val="nil"/>
              <w:left w:val="nil"/>
              <w:bottom w:val="nil"/>
              <w:right w:val="single" w:sz="8" w:space="0" w:color="auto"/>
            </w:tcBorders>
            <w:shd w:val="clear" w:color="000000" w:fill="F2F2F2"/>
            <w:noWrap/>
            <w:vAlign w:val="center"/>
            <w:hideMark/>
          </w:tcPr>
          <w:p w:rsidR="00B829E0" w:rsidRPr="006E3C42" w:rsidRDefault="00B829E0" w:rsidP="00B829E0">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B829E0">
        <w:trPr>
          <w:trHeight w:val="315"/>
        </w:trPr>
        <w:tc>
          <w:tcPr>
            <w:tcW w:w="377" w:type="pct"/>
            <w:vMerge/>
            <w:tcBorders>
              <w:top w:val="nil"/>
              <w:left w:val="single" w:sz="8" w:space="0" w:color="auto"/>
              <w:bottom w:val="single" w:sz="8" w:space="0" w:color="000000"/>
              <w:right w:val="single" w:sz="8" w:space="0" w:color="auto"/>
            </w:tcBorders>
            <w:vAlign w:val="center"/>
            <w:hideMark/>
          </w:tcPr>
          <w:p w:rsidR="00B829E0" w:rsidRPr="006E3C42" w:rsidRDefault="00B829E0" w:rsidP="00B829E0">
            <w:pPr>
              <w:spacing w:after="0" w:line="240" w:lineRule="auto"/>
              <w:jc w:val="left"/>
              <w:rPr>
                <w:rFonts w:ascii="Calibri" w:eastAsia="Times New Roman" w:hAnsi="Calibri" w:cs="Times New Roman"/>
                <w:b/>
                <w:bCs/>
                <w:color w:val="auto"/>
                <w:sz w:val="14"/>
                <w:szCs w:val="16"/>
                <w:lang w:eastAsia="pt-BR"/>
              </w:rPr>
            </w:pPr>
          </w:p>
        </w:tc>
        <w:tc>
          <w:tcPr>
            <w:tcW w:w="2390" w:type="pct"/>
            <w:tcBorders>
              <w:top w:val="single" w:sz="8" w:space="0" w:color="auto"/>
              <w:left w:val="nil"/>
              <w:bottom w:val="single" w:sz="8" w:space="0" w:color="auto"/>
              <w:right w:val="single" w:sz="4" w:space="0" w:color="auto"/>
            </w:tcBorders>
            <w:shd w:val="clear" w:color="000000" w:fill="D9D9D9"/>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Subtotal</w:t>
            </w:r>
          </w:p>
        </w:tc>
        <w:tc>
          <w:tcPr>
            <w:tcW w:w="689" w:type="pct"/>
            <w:tcBorders>
              <w:top w:val="single" w:sz="8" w:space="0" w:color="auto"/>
              <w:left w:val="nil"/>
              <w:bottom w:val="single" w:sz="8" w:space="0" w:color="auto"/>
              <w:right w:val="single" w:sz="4" w:space="0" w:color="auto"/>
            </w:tcBorders>
            <w:shd w:val="clear" w:color="000000" w:fill="D9D9D9"/>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120,00%</w:t>
            </w:r>
          </w:p>
        </w:tc>
        <w:tc>
          <w:tcPr>
            <w:tcW w:w="515"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B829E0" w:rsidRPr="006E3C42" w:rsidRDefault="007B0E6F" w:rsidP="007B0E6F">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0,</w:t>
            </w:r>
            <w:r w:rsidR="00B829E0" w:rsidRPr="006E3C42">
              <w:rPr>
                <w:rFonts w:ascii="Calibri" w:eastAsia="Times New Roman" w:hAnsi="Calibri" w:cs="Times New Roman"/>
                <w:b/>
                <w:bCs/>
                <w:color w:val="auto"/>
                <w:sz w:val="14"/>
                <w:szCs w:val="16"/>
                <w:lang w:eastAsia="pt-BR"/>
              </w:rPr>
              <w:t>00%</w:t>
            </w:r>
          </w:p>
        </w:tc>
        <w:tc>
          <w:tcPr>
            <w:tcW w:w="515" w:type="pct"/>
            <w:tcBorders>
              <w:top w:val="single" w:sz="8" w:space="0" w:color="auto"/>
              <w:left w:val="nil"/>
              <w:bottom w:val="single" w:sz="8" w:space="0" w:color="auto"/>
              <w:right w:val="single" w:sz="4" w:space="0" w:color="auto"/>
            </w:tcBorders>
            <w:shd w:val="clear" w:color="000000" w:fill="D9D9D9"/>
            <w:noWrap/>
            <w:vAlign w:val="center"/>
            <w:hideMark/>
          </w:tcPr>
          <w:p w:rsidR="00B829E0" w:rsidRPr="006E3C42" w:rsidRDefault="007B0E6F"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15</w:t>
            </w:r>
            <w:r w:rsidR="00B829E0" w:rsidRPr="006E3C42">
              <w:rPr>
                <w:rFonts w:ascii="Calibri" w:eastAsia="Times New Roman" w:hAnsi="Calibri" w:cs="Times New Roman"/>
                <w:b/>
                <w:bCs/>
                <w:color w:val="auto"/>
                <w:sz w:val="14"/>
                <w:szCs w:val="16"/>
                <w:lang w:eastAsia="pt-BR"/>
              </w:rPr>
              <w:t>,00%</w:t>
            </w:r>
          </w:p>
        </w:tc>
        <w:tc>
          <w:tcPr>
            <w:tcW w:w="515" w:type="pct"/>
            <w:tcBorders>
              <w:top w:val="single" w:sz="8" w:space="0" w:color="auto"/>
              <w:left w:val="nil"/>
              <w:bottom w:val="single" w:sz="8" w:space="0" w:color="auto"/>
              <w:right w:val="single" w:sz="8" w:space="0" w:color="auto"/>
            </w:tcBorders>
            <w:shd w:val="clear" w:color="000000" w:fill="D9D9D9"/>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40,00%</w:t>
            </w:r>
          </w:p>
        </w:tc>
      </w:tr>
      <w:tr w:rsidR="006E3C42" w:rsidRPr="006E3C42" w:rsidTr="00B829E0">
        <w:trPr>
          <w:trHeight w:val="315"/>
        </w:trPr>
        <w:tc>
          <w:tcPr>
            <w:tcW w:w="377" w:type="pct"/>
            <w:tcBorders>
              <w:top w:val="nil"/>
              <w:left w:val="nil"/>
              <w:bottom w:val="nil"/>
              <w:right w:val="nil"/>
            </w:tcBorders>
            <w:shd w:val="clear" w:color="auto" w:fill="auto"/>
            <w:noWrap/>
            <w:vAlign w:val="bottom"/>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p>
        </w:tc>
        <w:tc>
          <w:tcPr>
            <w:tcW w:w="2390" w:type="pct"/>
            <w:tcBorders>
              <w:top w:val="nil"/>
              <w:left w:val="single" w:sz="8" w:space="0" w:color="auto"/>
              <w:bottom w:val="single" w:sz="8" w:space="0" w:color="auto"/>
              <w:right w:val="single" w:sz="4" w:space="0" w:color="auto"/>
            </w:tcBorders>
            <w:shd w:val="clear" w:color="000000" w:fill="A6A6A6"/>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Total Geral</w:t>
            </w:r>
          </w:p>
        </w:tc>
        <w:tc>
          <w:tcPr>
            <w:tcW w:w="689" w:type="pct"/>
            <w:tcBorders>
              <w:top w:val="nil"/>
              <w:left w:val="nil"/>
              <w:bottom w:val="single" w:sz="8" w:space="0" w:color="auto"/>
              <w:right w:val="single" w:sz="4" w:space="0" w:color="auto"/>
            </w:tcBorders>
            <w:shd w:val="clear" w:color="000000" w:fill="A6A6A6"/>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690,00%</w:t>
            </w:r>
          </w:p>
        </w:tc>
        <w:tc>
          <w:tcPr>
            <w:tcW w:w="515" w:type="pct"/>
            <w:tcBorders>
              <w:top w:val="nil"/>
              <w:left w:val="single" w:sz="8" w:space="0" w:color="auto"/>
              <w:bottom w:val="single" w:sz="8" w:space="0" w:color="auto"/>
              <w:right w:val="single" w:sz="4" w:space="0" w:color="auto"/>
            </w:tcBorders>
            <w:shd w:val="clear" w:color="000000" w:fill="A6A6A6"/>
            <w:noWrap/>
            <w:vAlign w:val="center"/>
            <w:hideMark/>
          </w:tcPr>
          <w:p w:rsidR="00B829E0" w:rsidRPr="006E3C42" w:rsidRDefault="007B0E6F"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27</w:t>
            </w:r>
            <w:r w:rsidR="00B829E0" w:rsidRPr="006E3C42">
              <w:rPr>
                <w:rFonts w:ascii="Calibri" w:eastAsia="Times New Roman" w:hAnsi="Calibri" w:cs="Times New Roman"/>
                <w:b/>
                <w:bCs/>
                <w:color w:val="auto"/>
                <w:sz w:val="14"/>
                <w:szCs w:val="16"/>
                <w:lang w:eastAsia="pt-BR"/>
              </w:rPr>
              <w:t>,00%</w:t>
            </w:r>
          </w:p>
        </w:tc>
        <w:tc>
          <w:tcPr>
            <w:tcW w:w="515" w:type="pct"/>
            <w:tcBorders>
              <w:top w:val="nil"/>
              <w:left w:val="nil"/>
              <w:bottom w:val="single" w:sz="8" w:space="0" w:color="auto"/>
              <w:right w:val="single" w:sz="4" w:space="0" w:color="auto"/>
            </w:tcBorders>
            <w:shd w:val="clear" w:color="000000" w:fill="A6A6A6"/>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100,00%</w:t>
            </w:r>
          </w:p>
        </w:tc>
        <w:tc>
          <w:tcPr>
            <w:tcW w:w="515" w:type="pct"/>
            <w:tcBorders>
              <w:top w:val="nil"/>
              <w:left w:val="nil"/>
              <w:bottom w:val="single" w:sz="8" w:space="0" w:color="auto"/>
              <w:right w:val="single" w:sz="8" w:space="0" w:color="auto"/>
            </w:tcBorders>
            <w:shd w:val="clear" w:color="000000" w:fill="A6A6A6"/>
            <w:noWrap/>
            <w:vAlign w:val="center"/>
            <w:hideMark/>
          </w:tcPr>
          <w:p w:rsidR="00B829E0" w:rsidRPr="006E3C42" w:rsidRDefault="00B829E0" w:rsidP="00B829E0">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240,00%</w:t>
            </w:r>
          </w:p>
        </w:tc>
      </w:tr>
    </w:tbl>
    <w:p w:rsidR="00B829E0" w:rsidRPr="006E3C42" w:rsidRDefault="00B829E0">
      <w:pPr>
        <w:rPr>
          <w:bCs/>
          <w:color w:val="auto"/>
          <w:szCs w:val="20"/>
        </w:rPr>
      </w:pPr>
    </w:p>
    <w:p w:rsidR="00BA3136" w:rsidRPr="006E3C42" w:rsidRDefault="00BA3136">
      <w:pPr>
        <w:rPr>
          <w:bCs/>
          <w:color w:val="auto"/>
          <w:szCs w:val="20"/>
        </w:rPr>
      </w:pPr>
      <w:r w:rsidRPr="006E3C42">
        <w:rPr>
          <w:bCs/>
          <w:color w:val="auto"/>
          <w:szCs w:val="20"/>
        </w:rPr>
        <w:br w:type="page"/>
      </w:r>
    </w:p>
    <w:p w:rsidR="006B0FB7" w:rsidRPr="006E3C42" w:rsidRDefault="006B0FB7" w:rsidP="006B0FB7">
      <w:pPr>
        <w:spacing w:beforeLines="120" w:before="288" w:after="0" w:line="240" w:lineRule="auto"/>
        <w:rPr>
          <w:bCs/>
          <w:color w:val="auto"/>
          <w:szCs w:val="20"/>
        </w:rPr>
      </w:pPr>
      <w:r w:rsidRPr="006E3C42">
        <w:rPr>
          <w:bCs/>
          <w:color w:val="auto"/>
          <w:szCs w:val="20"/>
        </w:rPr>
        <w:lastRenderedPageBreak/>
        <w:t>A estratégia de alocação para os próximos cinco anos, leva em consideração não somente o cenário macroeconômico como também as especificidades da estratégia definida pelo resultado da análise do fluxo de caixa atuarial e as projeções futuras de déficit e/ou superávit.</w:t>
      </w:r>
    </w:p>
    <w:p w:rsidR="006B0FB7" w:rsidRPr="006E3C42" w:rsidRDefault="006B0FB7" w:rsidP="006B0FB7">
      <w:pPr>
        <w:spacing w:beforeLines="120" w:before="288" w:after="0" w:line="240" w:lineRule="auto"/>
        <w:jc w:val="center"/>
        <w:rPr>
          <w:b/>
          <w:bCs/>
          <w:color w:val="auto"/>
          <w:szCs w:val="20"/>
        </w:rPr>
      </w:pPr>
      <w:r w:rsidRPr="006E3C42">
        <w:rPr>
          <w:b/>
          <w:bCs/>
          <w:color w:val="auto"/>
          <w:szCs w:val="20"/>
        </w:rPr>
        <w:t>Alocação Estratégica para os próximos cinco anos</w:t>
      </w:r>
    </w:p>
    <w:p w:rsidR="00C77896" w:rsidRPr="006E3C42" w:rsidRDefault="00C77896" w:rsidP="006B0FB7">
      <w:pPr>
        <w:spacing w:beforeLines="120" w:before="288" w:after="0" w:line="240" w:lineRule="auto"/>
        <w:jc w:val="center"/>
        <w:rPr>
          <w:b/>
          <w:bCs/>
          <w:color w:val="auto"/>
          <w:szCs w:val="20"/>
        </w:rPr>
      </w:pPr>
    </w:p>
    <w:tbl>
      <w:tblPr>
        <w:tblW w:w="5000" w:type="pct"/>
        <w:tblCellMar>
          <w:left w:w="70" w:type="dxa"/>
          <w:right w:w="70" w:type="dxa"/>
        </w:tblCellMar>
        <w:tblLook w:val="04A0" w:firstRow="1" w:lastRow="0" w:firstColumn="1" w:lastColumn="0" w:noHBand="0" w:noVBand="1"/>
      </w:tblPr>
      <w:tblGrid>
        <w:gridCol w:w="727"/>
        <w:gridCol w:w="4411"/>
        <w:gridCol w:w="1267"/>
        <w:gridCol w:w="1404"/>
        <w:gridCol w:w="1402"/>
      </w:tblGrid>
      <w:tr w:rsidR="006E3C42" w:rsidRPr="006E3C42" w:rsidTr="000F34EF">
        <w:trPr>
          <w:trHeight w:val="555"/>
        </w:trPr>
        <w:tc>
          <w:tcPr>
            <w:tcW w:w="378" w:type="pct"/>
            <w:tcBorders>
              <w:top w:val="nil"/>
              <w:left w:val="nil"/>
              <w:bottom w:val="nil"/>
              <w:right w:val="nil"/>
            </w:tcBorders>
            <w:shd w:val="clear" w:color="auto" w:fill="auto"/>
            <w:noWrap/>
            <w:vAlign w:val="bottom"/>
            <w:hideMark/>
          </w:tcPr>
          <w:p w:rsidR="00301DFC" w:rsidRPr="006E3C42" w:rsidRDefault="00301DFC" w:rsidP="00301DFC">
            <w:pPr>
              <w:spacing w:after="0" w:line="240" w:lineRule="auto"/>
              <w:jc w:val="left"/>
              <w:rPr>
                <w:rFonts w:ascii="Times New Roman" w:eastAsia="Times New Roman" w:hAnsi="Times New Roman" w:cs="Times New Roman"/>
                <w:color w:val="auto"/>
                <w:sz w:val="14"/>
                <w:szCs w:val="24"/>
                <w:lang w:eastAsia="pt-BR"/>
              </w:rPr>
            </w:pPr>
          </w:p>
        </w:tc>
        <w:tc>
          <w:tcPr>
            <w:tcW w:w="2399" w:type="pct"/>
            <w:tcBorders>
              <w:top w:val="nil"/>
              <w:left w:val="nil"/>
              <w:bottom w:val="nil"/>
              <w:right w:val="nil"/>
            </w:tcBorders>
            <w:shd w:val="clear" w:color="auto" w:fill="auto"/>
            <w:noWrap/>
            <w:vAlign w:val="bottom"/>
            <w:hideMark/>
          </w:tcPr>
          <w:p w:rsidR="00301DFC" w:rsidRPr="006E3C42" w:rsidRDefault="00301DFC" w:rsidP="00301DFC">
            <w:pPr>
              <w:spacing w:after="0" w:line="240" w:lineRule="auto"/>
              <w:jc w:val="left"/>
              <w:rPr>
                <w:rFonts w:ascii="Times New Roman" w:eastAsia="Times New Roman" w:hAnsi="Times New Roman" w:cs="Times New Roman"/>
                <w:color w:val="auto"/>
                <w:sz w:val="14"/>
                <w:szCs w:val="20"/>
                <w:lang w:eastAsia="pt-BR"/>
              </w:rPr>
            </w:pPr>
          </w:p>
        </w:tc>
        <w:tc>
          <w:tcPr>
            <w:tcW w:w="692" w:type="pct"/>
            <w:tcBorders>
              <w:top w:val="nil"/>
              <w:left w:val="nil"/>
              <w:bottom w:val="nil"/>
              <w:right w:val="nil"/>
            </w:tcBorders>
            <w:shd w:val="clear" w:color="auto" w:fill="auto"/>
            <w:noWrap/>
            <w:vAlign w:val="bottom"/>
            <w:hideMark/>
          </w:tcPr>
          <w:p w:rsidR="00301DFC" w:rsidRPr="006E3C42" w:rsidRDefault="00301DFC" w:rsidP="00301DFC">
            <w:pPr>
              <w:spacing w:after="0" w:line="240" w:lineRule="auto"/>
              <w:jc w:val="left"/>
              <w:rPr>
                <w:rFonts w:ascii="Times New Roman" w:eastAsia="Times New Roman" w:hAnsi="Times New Roman" w:cs="Times New Roman"/>
                <w:color w:val="auto"/>
                <w:sz w:val="14"/>
                <w:szCs w:val="20"/>
                <w:lang w:eastAsia="pt-BR"/>
              </w:rPr>
            </w:pPr>
          </w:p>
        </w:tc>
        <w:tc>
          <w:tcPr>
            <w:tcW w:w="1531" w:type="pct"/>
            <w:gridSpan w:val="2"/>
            <w:tcBorders>
              <w:top w:val="single" w:sz="8" w:space="0" w:color="auto"/>
              <w:left w:val="nil"/>
              <w:bottom w:val="single" w:sz="8" w:space="0" w:color="auto"/>
              <w:right w:val="single" w:sz="8" w:space="0" w:color="000000"/>
            </w:tcBorders>
            <w:shd w:val="clear" w:color="000000" w:fill="D9D9D9"/>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Estratégia de Alocação - para os próximos cinco exercícios</w:t>
            </w:r>
          </w:p>
        </w:tc>
      </w:tr>
      <w:tr w:rsidR="006E3C42" w:rsidRPr="006E3C42" w:rsidTr="00301DFC">
        <w:trPr>
          <w:trHeight w:val="465"/>
        </w:trPr>
        <w:tc>
          <w:tcPr>
            <w:tcW w:w="378"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Segmento</w:t>
            </w:r>
          </w:p>
        </w:tc>
        <w:tc>
          <w:tcPr>
            <w:tcW w:w="2399" w:type="pct"/>
            <w:tcBorders>
              <w:top w:val="single" w:sz="8" w:space="0" w:color="auto"/>
              <w:left w:val="nil"/>
              <w:bottom w:val="single" w:sz="8" w:space="0" w:color="auto"/>
              <w:right w:val="single" w:sz="4" w:space="0" w:color="auto"/>
            </w:tcBorders>
            <w:shd w:val="clear" w:color="000000" w:fill="D9D9D9"/>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Tipo de Ativo</w:t>
            </w:r>
          </w:p>
        </w:tc>
        <w:tc>
          <w:tcPr>
            <w:tcW w:w="692" w:type="pct"/>
            <w:tcBorders>
              <w:top w:val="single" w:sz="8" w:space="0" w:color="auto"/>
              <w:left w:val="nil"/>
              <w:bottom w:val="single" w:sz="8" w:space="0" w:color="auto"/>
              <w:right w:val="single" w:sz="4" w:space="0" w:color="auto"/>
            </w:tcBorders>
            <w:shd w:val="clear" w:color="000000" w:fill="D9D9D9"/>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Limite da Resolução CMN %</w:t>
            </w:r>
          </w:p>
        </w:tc>
        <w:tc>
          <w:tcPr>
            <w:tcW w:w="766" w:type="pct"/>
            <w:tcBorders>
              <w:top w:val="nil"/>
              <w:left w:val="nil"/>
              <w:bottom w:val="single" w:sz="8" w:space="0" w:color="auto"/>
              <w:right w:val="single" w:sz="4" w:space="0" w:color="auto"/>
            </w:tcBorders>
            <w:shd w:val="clear" w:color="000000" w:fill="D9D9D9"/>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Limite Inferior (%)</w:t>
            </w:r>
          </w:p>
        </w:tc>
        <w:tc>
          <w:tcPr>
            <w:tcW w:w="766" w:type="pct"/>
            <w:tcBorders>
              <w:top w:val="nil"/>
              <w:left w:val="nil"/>
              <w:bottom w:val="single" w:sz="8" w:space="0" w:color="auto"/>
              <w:right w:val="single" w:sz="8" w:space="0" w:color="auto"/>
            </w:tcBorders>
            <w:shd w:val="clear" w:color="000000" w:fill="D9D9D9"/>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Limite Superior (%)</w:t>
            </w:r>
          </w:p>
        </w:tc>
      </w:tr>
      <w:tr w:rsidR="006E3C42" w:rsidRPr="006E3C42" w:rsidTr="00301DFC">
        <w:trPr>
          <w:trHeight w:val="300"/>
        </w:trPr>
        <w:tc>
          <w:tcPr>
            <w:tcW w:w="37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Renda Fixa</w:t>
            </w: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Títulos Tesouro Nacional – SELIC - Art. 7º, I, “a”.</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Referenciados em 100% títulos TN - Art. 7º, I, "b"</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15,00%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70,00%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Referenciados em Índice de Renda Fixa, 100% títulos TN - Art. 7°, I "c"</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proofErr w:type="gramStart"/>
            <w:r w:rsidRPr="006E3C42">
              <w:rPr>
                <w:rFonts w:ascii="Calibri" w:eastAsia="Times New Roman" w:hAnsi="Calibri" w:cs="Times New Roman"/>
                <w:color w:val="auto"/>
                <w:sz w:val="14"/>
                <w:szCs w:val="16"/>
                <w:lang w:eastAsia="pt-BR"/>
              </w:rPr>
              <w:t>Operações Compromissadas</w:t>
            </w:r>
            <w:proofErr w:type="gramEnd"/>
            <w:r w:rsidRPr="006E3C42">
              <w:rPr>
                <w:rFonts w:ascii="Calibri" w:eastAsia="Times New Roman" w:hAnsi="Calibri" w:cs="Times New Roman"/>
                <w:color w:val="auto"/>
                <w:sz w:val="14"/>
                <w:szCs w:val="16"/>
                <w:lang w:eastAsia="pt-BR"/>
              </w:rPr>
              <w:t xml:space="preserve"> em títulos TN - Art. 7º, II</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Referenciados RF - Art. 7º, III, Alínea “a”</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60,00%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7B0E6F"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301DFC" w:rsidRPr="006E3C42">
              <w:rPr>
                <w:rFonts w:ascii="Calibri" w:eastAsia="Times New Roman" w:hAnsi="Calibri" w:cs="Times New Roman"/>
                <w:color w:val="auto"/>
                <w:sz w:val="14"/>
                <w:szCs w:val="16"/>
                <w:lang w:eastAsia="pt-BR"/>
              </w:rPr>
              <w:t>,00%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60,00%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Índices Referenciado RF- Art. 7º, III, Alínea “b”</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60,00%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Renda Fixa - Art. 7º, IV, Alínea “a”</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40,00%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7B0E6F"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w:t>
            </w:r>
            <w:r w:rsidR="00301DFC"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40,00%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Índices Renda Fixa - Art. 7º, IV, Alínea “b”</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40,00%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Letras Imobiliárias Garantidas - Art. 7º, V, Alínea “b”</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Certificados de Depósitos Bancários - Art. 7º, VI, Alínea "a"</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15,00%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15,00%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Depósito em Poupança - Art. 7º, VI, Alínea "b"</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15,00%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em Direitos Creditórios - sênior Art. 7º, VII, "a"</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Renda Fixa "Crédito Privado"- Art. 7º, VII, "b"</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0F34EF">
        <w:trPr>
          <w:trHeight w:val="315"/>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Debêntures Infraestrutura - Art. 7º, VII, "c"</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301DFC">
        <w:trPr>
          <w:trHeight w:val="315"/>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single" w:sz="8" w:space="0" w:color="auto"/>
              <w:left w:val="nil"/>
              <w:bottom w:val="single" w:sz="8" w:space="0" w:color="auto"/>
              <w:right w:val="single" w:sz="4" w:space="0" w:color="auto"/>
            </w:tcBorders>
            <w:shd w:val="clear" w:color="000000" w:fill="D9D9D9"/>
            <w:noWrap/>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Subtotal</w:t>
            </w:r>
          </w:p>
        </w:tc>
        <w:tc>
          <w:tcPr>
            <w:tcW w:w="692" w:type="pct"/>
            <w:tcBorders>
              <w:top w:val="single" w:sz="8" w:space="0" w:color="auto"/>
              <w:left w:val="nil"/>
              <w:bottom w:val="single" w:sz="8" w:space="0" w:color="auto"/>
              <w:right w:val="single" w:sz="4" w:space="0" w:color="auto"/>
            </w:tcBorders>
            <w:shd w:val="clear" w:color="000000" w:fill="D9D9D9"/>
            <w:noWrap/>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570,00%</w:t>
            </w:r>
          </w:p>
        </w:tc>
        <w:tc>
          <w:tcPr>
            <w:tcW w:w="766" w:type="pct"/>
            <w:tcBorders>
              <w:top w:val="single" w:sz="8" w:space="0" w:color="auto"/>
              <w:left w:val="nil"/>
              <w:bottom w:val="single" w:sz="8" w:space="0" w:color="auto"/>
              <w:right w:val="single" w:sz="4" w:space="0" w:color="auto"/>
            </w:tcBorders>
            <w:shd w:val="clear" w:color="000000" w:fill="D9D9D9"/>
            <w:noWrap/>
            <w:vAlign w:val="center"/>
            <w:hideMark/>
          </w:tcPr>
          <w:p w:rsidR="00301DFC" w:rsidRPr="006E3C42" w:rsidRDefault="007B0E6F"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27</w:t>
            </w:r>
            <w:r w:rsidR="00301DFC" w:rsidRPr="006E3C42">
              <w:rPr>
                <w:rFonts w:ascii="Calibri" w:eastAsia="Times New Roman" w:hAnsi="Calibri" w:cs="Times New Roman"/>
                <w:b/>
                <w:bCs/>
                <w:color w:val="auto"/>
                <w:sz w:val="14"/>
                <w:szCs w:val="16"/>
                <w:lang w:eastAsia="pt-BR"/>
              </w:rPr>
              <w:t>,00%</w:t>
            </w:r>
          </w:p>
        </w:tc>
        <w:tc>
          <w:tcPr>
            <w:tcW w:w="766" w:type="pct"/>
            <w:tcBorders>
              <w:top w:val="single" w:sz="8" w:space="0" w:color="auto"/>
              <w:left w:val="nil"/>
              <w:bottom w:val="single" w:sz="8" w:space="0" w:color="auto"/>
              <w:right w:val="single" w:sz="8" w:space="0" w:color="auto"/>
            </w:tcBorders>
            <w:shd w:val="clear" w:color="000000" w:fill="D9D9D9"/>
            <w:noWrap/>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200,00%</w:t>
            </w:r>
          </w:p>
        </w:tc>
      </w:tr>
      <w:tr w:rsidR="006E3C42" w:rsidRPr="006E3C42" w:rsidTr="00301DFC">
        <w:trPr>
          <w:trHeight w:val="300"/>
        </w:trPr>
        <w:tc>
          <w:tcPr>
            <w:tcW w:w="37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Renda Variável</w:t>
            </w: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Referenciados em Renda Variável - Art. 8º, I, "a"</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30,00%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de Índices Referenciados em Renda Variável- Art. 8º, I, "b"</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30,00%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em Ações - Art. 8º, II, "a"</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7B0E6F"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301DFC" w:rsidRPr="006E3C42">
              <w:rPr>
                <w:rFonts w:ascii="Calibri" w:eastAsia="Times New Roman" w:hAnsi="Calibri" w:cs="Times New Roman"/>
                <w:color w:val="auto"/>
                <w:sz w:val="14"/>
                <w:szCs w:val="16"/>
                <w:lang w:eastAsia="pt-BR"/>
              </w:rPr>
              <w:t>,00%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em Índices de Ações - Art. 8º, II, "b"</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20,00%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Multimercado - Art. 8º, III</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7B0E6F"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301DFC" w:rsidRPr="006E3C42">
              <w:rPr>
                <w:rFonts w:ascii="Calibri" w:eastAsia="Times New Roman" w:hAnsi="Calibri" w:cs="Times New Roman"/>
                <w:color w:val="auto"/>
                <w:sz w:val="14"/>
                <w:szCs w:val="16"/>
                <w:lang w:eastAsia="pt-BR"/>
              </w:rPr>
              <w:t>,00%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10,00%</w:t>
            </w:r>
          </w:p>
        </w:tc>
      </w:tr>
      <w:tr w:rsidR="006E3C42" w:rsidRPr="006E3C42" w:rsidTr="000F34EF">
        <w:trPr>
          <w:trHeight w:val="300"/>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 xml:space="preserve">FI em </w:t>
            </w:r>
            <w:proofErr w:type="gramStart"/>
            <w:r w:rsidRPr="006E3C42">
              <w:rPr>
                <w:rFonts w:ascii="Calibri" w:eastAsia="Times New Roman" w:hAnsi="Calibri" w:cs="Times New Roman"/>
                <w:color w:val="auto"/>
                <w:sz w:val="14"/>
                <w:szCs w:val="16"/>
                <w:lang w:eastAsia="pt-BR"/>
              </w:rPr>
              <w:t>Participações  -</w:t>
            </w:r>
            <w:proofErr w:type="gramEnd"/>
            <w:r w:rsidRPr="006E3C42">
              <w:rPr>
                <w:rFonts w:ascii="Calibri" w:eastAsia="Times New Roman" w:hAnsi="Calibri" w:cs="Times New Roman"/>
                <w:color w:val="auto"/>
                <w:sz w:val="14"/>
                <w:szCs w:val="16"/>
                <w:lang w:eastAsia="pt-BR"/>
              </w:rPr>
              <w:t xml:space="preserve"> Art. 8º, IV, "a"</w:t>
            </w:r>
          </w:p>
        </w:tc>
        <w:tc>
          <w:tcPr>
            <w:tcW w:w="692" w:type="pct"/>
            <w:tcBorders>
              <w:top w:val="nil"/>
              <w:left w:val="nil"/>
              <w:bottom w:val="single" w:sz="4" w:space="0" w:color="auto"/>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301DFC" w:rsidRPr="006E3C42" w:rsidRDefault="007B0E6F"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301DFC" w:rsidRPr="006E3C42">
              <w:rPr>
                <w:rFonts w:ascii="Calibri" w:eastAsia="Times New Roman" w:hAnsi="Calibri" w:cs="Times New Roman"/>
                <w:color w:val="auto"/>
                <w:sz w:val="14"/>
                <w:szCs w:val="16"/>
                <w:lang w:eastAsia="pt-BR"/>
              </w:rPr>
              <w:t>,00%</w:t>
            </w:r>
          </w:p>
        </w:tc>
        <w:tc>
          <w:tcPr>
            <w:tcW w:w="766" w:type="pct"/>
            <w:tcBorders>
              <w:top w:val="nil"/>
              <w:left w:val="nil"/>
              <w:bottom w:val="single" w:sz="4" w:space="0" w:color="auto"/>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0F34EF">
        <w:trPr>
          <w:trHeight w:val="315"/>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nil"/>
              <w:left w:val="nil"/>
              <w:bottom w:val="nil"/>
              <w:right w:val="single" w:sz="4" w:space="0" w:color="auto"/>
            </w:tcBorders>
            <w:shd w:val="clear" w:color="auto" w:fill="auto"/>
            <w:noWrap/>
            <w:vAlign w:val="bottom"/>
            <w:hideMark/>
          </w:tcPr>
          <w:p w:rsidR="00301DFC" w:rsidRPr="006E3C42" w:rsidRDefault="00301DFC" w:rsidP="00301DFC">
            <w:pPr>
              <w:spacing w:after="0" w:line="240" w:lineRule="auto"/>
              <w:jc w:val="left"/>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FI Imobiliário - Art. 8º, IV, "b"</w:t>
            </w:r>
          </w:p>
        </w:tc>
        <w:tc>
          <w:tcPr>
            <w:tcW w:w="692" w:type="pct"/>
            <w:tcBorders>
              <w:top w:val="nil"/>
              <w:left w:val="nil"/>
              <w:bottom w:val="nil"/>
              <w:right w:val="single" w:sz="4" w:space="0" w:color="auto"/>
            </w:tcBorders>
            <w:shd w:val="clear" w:color="auto" w:fill="auto"/>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c>
          <w:tcPr>
            <w:tcW w:w="766" w:type="pct"/>
            <w:tcBorders>
              <w:top w:val="nil"/>
              <w:left w:val="nil"/>
              <w:bottom w:val="nil"/>
              <w:right w:val="single" w:sz="4" w:space="0" w:color="auto"/>
            </w:tcBorders>
            <w:shd w:val="clear" w:color="000000" w:fill="F2F2F2"/>
            <w:noWrap/>
            <w:vAlign w:val="center"/>
            <w:hideMark/>
          </w:tcPr>
          <w:p w:rsidR="00301DFC" w:rsidRPr="006E3C42" w:rsidRDefault="007B0E6F"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0</w:t>
            </w:r>
            <w:r w:rsidR="00301DFC" w:rsidRPr="006E3C42">
              <w:rPr>
                <w:rFonts w:ascii="Calibri" w:eastAsia="Times New Roman" w:hAnsi="Calibri" w:cs="Times New Roman"/>
                <w:color w:val="auto"/>
                <w:sz w:val="14"/>
                <w:szCs w:val="16"/>
                <w:lang w:eastAsia="pt-BR"/>
              </w:rPr>
              <w:t>,00%</w:t>
            </w:r>
          </w:p>
        </w:tc>
        <w:tc>
          <w:tcPr>
            <w:tcW w:w="766" w:type="pct"/>
            <w:tcBorders>
              <w:top w:val="nil"/>
              <w:left w:val="nil"/>
              <w:bottom w:val="nil"/>
              <w:right w:val="single" w:sz="8" w:space="0" w:color="auto"/>
            </w:tcBorders>
            <w:shd w:val="clear" w:color="000000" w:fill="F2F2F2"/>
            <w:noWrap/>
            <w:vAlign w:val="center"/>
            <w:hideMark/>
          </w:tcPr>
          <w:p w:rsidR="00301DFC" w:rsidRPr="006E3C42" w:rsidRDefault="00301DFC" w:rsidP="00301DFC">
            <w:pPr>
              <w:spacing w:after="0" w:line="240" w:lineRule="auto"/>
              <w:jc w:val="center"/>
              <w:rPr>
                <w:rFonts w:ascii="Calibri" w:eastAsia="Times New Roman" w:hAnsi="Calibri" w:cs="Times New Roman"/>
                <w:color w:val="auto"/>
                <w:sz w:val="14"/>
                <w:szCs w:val="16"/>
                <w:lang w:eastAsia="pt-BR"/>
              </w:rPr>
            </w:pPr>
            <w:r w:rsidRPr="006E3C42">
              <w:rPr>
                <w:rFonts w:ascii="Calibri" w:eastAsia="Times New Roman" w:hAnsi="Calibri" w:cs="Times New Roman"/>
                <w:color w:val="auto"/>
                <w:sz w:val="14"/>
                <w:szCs w:val="16"/>
                <w:lang w:eastAsia="pt-BR"/>
              </w:rPr>
              <w:t>5,00%</w:t>
            </w:r>
          </w:p>
        </w:tc>
      </w:tr>
      <w:tr w:rsidR="006E3C42" w:rsidRPr="006E3C42" w:rsidTr="00301DFC">
        <w:trPr>
          <w:trHeight w:val="315"/>
        </w:trPr>
        <w:tc>
          <w:tcPr>
            <w:tcW w:w="378" w:type="pct"/>
            <w:vMerge/>
            <w:tcBorders>
              <w:top w:val="nil"/>
              <w:left w:val="single" w:sz="8" w:space="0" w:color="auto"/>
              <w:bottom w:val="single" w:sz="8" w:space="0" w:color="000000"/>
              <w:right w:val="single" w:sz="8" w:space="0" w:color="auto"/>
            </w:tcBorders>
            <w:vAlign w:val="center"/>
            <w:hideMark/>
          </w:tcPr>
          <w:p w:rsidR="00301DFC" w:rsidRPr="006E3C42" w:rsidRDefault="00301DFC" w:rsidP="00301DFC">
            <w:pPr>
              <w:spacing w:after="0" w:line="240" w:lineRule="auto"/>
              <w:jc w:val="left"/>
              <w:rPr>
                <w:rFonts w:ascii="Calibri" w:eastAsia="Times New Roman" w:hAnsi="Calibri" w:cs="Times New Roman"/>
                <w:b/>
                <w:bCs/>
                <w:color w:val="auto"/>
                <w:sz w:val="14"/>
                <w:szCs w:val="16"/>
                <w:lang w:eastAsia="pt-BR"/>
              </w:rPr>
            </w:pPr>
          </w:p>
        </w:tc>
        <w:tc>
          <w:tcPr>
            <w:tcW w:w="2399" w:type="pct"/>
            <w:tcBorders>
              <w:top w:val="single" w:sz="8" w:space="0" w:color="auto"/>
              <w:left w:val="nil"/>
              <w:bottom w:val="single" w:sz="8" w:space="0" w:color="auto"/>
              <w:right w:val="single" w:sz="4" w:space="0" w:color="auto"/>
            </w:tcBorders>
            <w:shd w:val="clear" w:color="000000" w:fill="D9D9D9"/>
            <w:noWrap/>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Subtotal</w:t>
            </w:r>
          </w:p>
        </w:tc>
        <w:tc>
          <w:tcPr>
            <w:tcW w:w="692" w:type="pct"/>
            <w:tcBorders>
              <w:top w:val="single" w:sz="8" w:space="0" w:color="auto"/>
              <w:left w:val="nil"/>
              <w:bottom w:val="single" w:sz="8" w:space="0" w:color="auto"/>
              <w:right w:val="single" w:sz="4" w:space="0" w:color="auto"/>
            </w:tcBorders>
            <w:shd w:val="clear" w:color="000000" w:fill="D9D9D9"/>
            <w:noWrap/>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120,00%</w:t>
            </w:r>
          </w:p>
        </w:tc>
        <w:tc>
          <w:tcPr>
            <w:tcW w:w="766" w:type="pct"/>
            <w:tcBorders>
              <w:top w:val="single" w:sz="8" w:space="0" w:color="auto"/>
              <w:left w:val="nil"/>
              <w:bottom w:val="single" w:sz="8" w:space="0" w:color="auto"/>
              <w:right w:val="single" w:sz="4" w:space="0" w:color="auto"/>
            </w:tcBorders>
            <w:shd w:val="clear" w:color="000000" w:fill="D9D9D9"/>
            <w:noWrap/>
            <w:vAlign w:val="center"/>
            <w:hideMark/>
          </w:tcPr>
          <w:p w:rsidR="00301DFC" w:rsidRPr="006E3C42" w:rsidRDefault="007B0E6F"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0</w:t>
            </w:r>
            <w:r w:rsidR="00301DFC" w:rsidRPr="006E3C42">
              <w:rPr>
                <w:rFonts w:ascii="Calibri" w:eastAsia="Times New Roman" w:hAnsi="Calibri" w:cs="Times New Roman"/>
                <w:b/>
                <w:bCs/>
                <w:color w:val="auto"/>
                <w:sz w:val="14"/>
                <w:szCs w:val="16"/>
                <w:lang w:eastAsia="pt-BR"/>
              </w:rPr>
              <w:t>,00%</w:t>
            </w:r>
          </w:p>
        </w:tc>
        <w:tc>
          <w:tcPr>
            <w:tcW w:w="766" w:type="pct"/>
            <w:tcBorders>
              <w:top w:val="single" w:sz="8" w:space="0" w:color="auto"/>
              <w:left w:val="nil"/>
              <w:bottom w:val="single" w:sz="8" w:space="0" w:color="auto"/>
              <w:right w:val="single" w:sz="8" w:space="0" w:color="auto"/>
            </w:tcBorders>
            <w:shd w:val="clear" w:color="000000" w:fill="D9D9D9"/>
            <w:noWrap/>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40,00%</w:t>
            </w:r>
          </w:p>
        </w:tc>
      </w:tr>
      <w:tr w:rsidR="006E3C42" w:rsidRPr="006E3C42" w:rsidTr="00301DFC">
        <w:trPr>
          <w:trHeight w:val="315"/>
        </w:trPr>
        <w:tc>
          <w:tcPr>
            <w:tcW w:w="378" w:type="pct"/>
            <w:tcBorders>
              <w:top w:val="nil"/>
              <w:left w:val="nil"/>
              <w:bottom w:val="nil"/>
              <w:right w:val="nil"/>
            </w:tcBorders>
            <w:shd w:val="clear" w:color="auto" w:fill="auto"/>
            <w:noWrap/>
            <w:vAlign w:val="bottom"/>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p>
        </w:tc>
        <w:tc>
          <w:tcPr>
            <w:tcW w:w="2399" w:type="pct"/>
            <w:tcBorders>
              <w:top w:val="nil"/>
              <w:left w:val="single" w:sz="8" w:space="0" w:color="auto"/>
              <w:bottom w:val="single" w:sz="8" w:space="0" w:color="auto"/>
              <w:right w:val="single" w:sz="4" w:space="0" w:color="auto"/>
            </w:tcBorders>
            <w:shd w:val="clear" w:color="000000" w:fill="A6A6A6"/>
            <w:noWrap/>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Total Geral</w:t>
            </w:r>
          </w:p>
        </w:tc>
        <w:tc>
          <w:tcPr>
            <w:tcW w:w="692" w:type="pct"/>
            <w:tcBorders>
              <w:top w:val="nil"/>
              <w:left w:val="nil"/>
              <w:bottom w:val="single" w:sz="8" w:space="0" w:color="auto"/>
              <w:right w:val="single" w:sz="4" w:space="0" w:color="auto"/>
            </w:tcBorders>
            <w:shd w:val="clear" w:color="000000" w:fill="A6A6A6"/>
            <w:noWrap/>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690,00%</w:t>
            </w:r>
          </w:p>
        </w:tc>
        <w:tc>
          <w:tcPr>
            <w:tcW w:w="766" w:type="pct"/>
            <w:tcBorders>
              <w:top w:val="nil"/>
              <w:left w:val="nil"/>
              <w:bottom w:val="single" w:sz="8" w:space="0" w:color="auto"/>
              <w:right w:val="single" w:sz="4" w:space="0" w:color="auto"/>
            </w:tcBorders>
            <w:shd w:val="clear" w:color="000000" w:fill="A6A6A6"/>
            <w:noWrap/>
            <w:vAlign w:val="center"/>
            <w:hideMark/>
          </w:tcPr>
          <w:p w:rsidR="00301DFC" w:rsidRPr="006E3C42" w:rsidRDefault="007B0E6F"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27</w:t>
            </w:r>
            <w:r w:rsidR="00301DFC" w:rsidRPr="006E3C42">
              <w:rPr>
                <w:rFonts w:ascii="Calibri" w:eastAsia="Times New Roman" w:hAnsi="Calibri" w:cs="Times New Roman"/>
                <w:b/>
                <w:bCs/>
                <w:color w:val="auto"/>
                <w:sz w:val="14"/>
                <w:szCs w:val="16"/>
                <w:lang w:eastAsia="pt-BR"/>
              </w:rPr>
              <w:t>,00%</w:t>
            </w:r>
          </w:p>
        </w:tc>
        <w:tc>
          <w:tcPr>
            <w:tcW w:w="766" w:type="pct"/>
            <w:tcBorders>
              <w:top w:val="nil"/>
              <w:left w:val="nil"/>
              <w:bottom w:val="single" w:sz="8" w:space="0" w:color="auto"/>
              <w:right w:val="single" w:sz="8" w:space="0" w:color="auto"/>
            </w:tcBorders>
            <w:shd w:val="clear" w:color="000000" w:fill="A6A6A6"/>
            <w:noWrap/>
            <w:vAlign w:val="center"/>
            <w:hideMark/>
          </w:tcPr>
          <w:p w:rsidR="00301DFC" w:rsidRPr="006E3C42" w:rsidRDefault="00301DFC" w:rsidP="00301DFC">
            <w:pPr>
              <w:spacing w:after="0" w:line="240" w:lineRule="auto"/>
              <w:jc w:val="center"/>
              <w:rPr>
                <w:rFonts w:ascii="Calibri" w:eastAsia="Times New Roman" w:hAnsi="Calibri" w:cs="Times New Roman"/>
                <w:b/>
                <w:bCs/>
                <w:color w:val="auto"/>
                <w:sz w:val="14"/>
                <w:szCs w:val="16"/>
                <w:lang w:eastAsia="pt-BR"/>
              </w:rPr>
            </w:pPr>
            <w:r w:rsidRPr="006E3C42">
              <w:rPr>
                <w:rFonts w:ascii="Calibri" w:eastAsia="Times New Roman" w:hAnsi="Calibri" w:cs="Times New Roman"/>
                <w:b/>
                <w:bCs/>
                <w:color w:val="auto"/>
                <w:sz w:val="14"/>
                <w:szCs w:val="16"/>
                <w:lang w:eastAsia="pt-BR"/>
              </w:rPr>
              <w:t>240,00%</w:t>
            </w:r>
          </w:p>
        </w:tc>
      </w:tr>
    </w:tbl>
    <w:p w:rsidR="00B77E5C" w:rsidRPr="006E3C42" w:rsidRDefault="00B77E5C" w:rsidP="006B0FB7">
      <w:pPr>
        <w:spacing w:beforeLines="120" w:before="288" w:after="0" w:line="240" w:lineRule="auto"/>
        <w:jc w:val="center"/>
        <w:rPr>
          <w:b/>
          <w:bCs/>
          <w:color w:val="auto"/>
          <w:szCs w:val="20"/>
        </w:rPr>
      </w:pPr>
    </w:p>
    <w:p w:rsidR="006B0FB7" w:rsidRPr="006E3C42" w:rsidRDefault="006B0FB7" w:rsidP="006B0FB7">
      <w:pPr>
        <w:spacing w:beforeLines="120" w:before="288" w:line="240" w:lineRule="auto"/>
        <w:rPr>
          <w:bCs/>
          <w:color w:val="auto"/>
          <w:szCs w:val="20"/>
        </w:rPr>
      </w:pPr>
      <w:r w:rsidRPr="006E3C42">
        <w:rPr>
          <w:bCs/>
          <w:color w:val="auto"/>
          <w:szCs w:val="20"/>
        </w:rPr>
        <w:t xml:space="preserve">O </w:t>
      </w:r>
      <w:r w:rsidR="00AF522C" w:rsidRPr="006E3C42">
        <w:rPr>
          <w:b/>
          <w:bCs/>
          <w:color w:val="auto"/>
          <w:szCs w:val="20"/>
        </w:rPr>
        <w:t>INSTITUTO DE PREVIDÊNCIA DOS SERVIDORES PÚBLICOS DO MUNICÍPIO DE BOM JESUS DOS PERDÕES</w:t>
      </w:r>
      <w:r w:rsidRPr="006E3C42">
        <w:rPr>
          <w:bCs/>
          <w:color w:val="auto"/>
          <w:szCs w:val="20"/>
        </w:rPr>
        <w:t xml:space="preserve"> considera os limites apresentados o resultado da análise feita através das reservas técnicas atuariais (ativos) e as reservas matemáticas (passivo) projetadas pelo cálculo atuarial o que pode exigir maior flexibilidade nos níveis de liquidez da carteira.</w:t>
      </w:r>
    </w:p>
    <w:p w:rsidR="0042217A" w:rsidRPr="006E3C42" w:rsidRDefault="009B145D" w:rsidP="006B0FB7">
      <w:pPr>
        <w:spacing w:beforeLines="120" w:before="288" w:line="240" w:lineRule="auto"/>
        <w:rPr>
          <w:bCs/>
          <w:color w:val="auto"/>
          <w:szCs w:val="20"/>
        </w:rPr>
      </w:pPr>
      <w:r w:rsidRPr="006E3C42">
        <w:rPr>
          <w:bCs/>
          <w:color w:val="auto"/>
          <w:szCs w:val="20"/>
        </w:rPr>
        <w:t>Serão observados também, a compatibilidades dos ativos investidos com os prazo e taxas das obrigaçõe</w:t>
      </w:r>
      <w:r w:rsidR="00DE66AE" w:rsidRPr="006E3C42">
        <w:rPr>
          <w:bCs/>
          <w:color w:val="auto"/>
          <w:szCs w:val="20"/>
        </w:rPr>
        <w:t>s presentes e futuras do regime</w:t>
      </w:r>
      <w:r w:rsidRPr="006E3C42">
        <w:rPr>
          <w:bCs/>
          <w:color w:val="auto"/>
          <w:szCs w:val="20"/>
        </w:rPr>
        <w:t>.</w:t>
      </w:r>
    </w:p>
    <w:p w:rsidR="006B0FB7" w:rsidRPr="006E3C42" w:rsidRDefault="006B0FB7" w:rsidP="00226B7B">
      <w:pPr>
        <w:pStyle w:val="Ttulo2"/>
        <w:rPr>
          <w:color w:val="auto"/>
        </w:rPr>
      </w:pPr>
      <w:bookmarkStart w:id="61" w:name="_Toc435202742"/>
      <w:bookmarkStart w:id="62" w:name="_Toc490036547"/>
      <w:bookmarkStart w:id="63" w:name="_Toc521592791"/>
      <w:r w:rsidRPr="006E3C42">
        <w:rPr>
          <w:color w:val="auto"/>
        </w:rPr>
        <w:t>SEGMENTO DE RENDA FIXA</w:t>
      </w:r>
      <w:bookmarkEnd w:id="61"/>
      <w:bookmarkEnd w:id="62"/>
      <w:bookmarkEnd w:id="63"/>
    </w:p>
    <w:p w:rsidR="006B0FB7" w:rsidRPr="006E3C42" w:rsidRDefault="006B0FB7" w:rsidP="006B0FB7">
      <w:pPr>
        <w:spacing w:beforeLines="120" w:before="288" w:line="240" w:lineRule="auto"/>
        <w:rPr>
          <w:b/>
          <w:bCs/>
          <w:color w:val="auto"/>
          <w:szCs w:val="20"/>
        </w:rPr>
      </w:pPr>
      <w:r w:rsidRPr="006E3C42">
        <w:rPr>
          <w:bCs/>
          <w:color w:val="auto"/>
          <w:szCs w:val="20"/>
        </w:rPr>
        <w:t xml:space="preserve">Obedecendo-se os limites permitidos pela Resolução CMN n° 3922/2010, propõe-se adotar o, </w:t>
      </w:r>
      <w:r w:rsidR="00F3222B" w:rsidRPr="006E3C42">
        <w:rPr>
          <w:b/>
          <w:bCs/>
          <w:color w:val="auto"/>
          <w:szCs w:val="20"/>
        </w:rPr>
        <w:t xml:space="preserve">limite de máximo de </w:t>
      </w:r>
      <w:r w:rsidR="00301DFC" w:rsidRPr="006E3C42">
        <w:rPr>
          <w:b/>
          <w:bCs/>
          <w:color w:val="auto"/>
          <w:szCs w:val="20"/>
        </w:rPr>
        <w:t xml:space="preserve">82% </w:t>
      </w:r>
      <w:r w:rsidRPr="006E3C42">
        <w:rPr>
          <w:b/>
          <w:bCs/>
          <w:color w:val="auto"/>
          <w:szCs w:val="20"/>
        </w:rPr>
        <w:t>(</w:t>
      </w:r>
      <w:r w:rsidR="00F3222B" w:rsidRPr="006E3C42">
        <w:rPr>
          <w:b/>
          <w:bCs/>
          <w:color w:val="auto"/>
          <w:szCs w:val="20"/>
        </w:rPr>
        <w:t xml:space="preserve">oitenta </w:t>
      </w:r>
      <w:proofErr w:type="gramStart"/>
      <w:r w:rsidR="00F3222B" w:rsidRPr="006E3C42">
        <w:rPr>
          <w:b/>
          <w:bCs/>
          <w:color w:val="auto"/>
          <w:szCs w:val="20"/>
        </w:rPr>
        <w:t xml:space="preserve">e </w:t>
      </w:r>
      <w:r w:rsidR="00D2221E" w:rsidRPr="006E3C42">
        <w:rPr>
          <w:b/>
          <w:bCs/>
          <w:color w:val="auto"/>
          <w:szCs w:val="20"/>
        </w:rPr>
        <w:t xml:space="preserve"> </w:t>
      </w:r>
      <w:r w:rsidR="00301DFC" w:rsidRPr="006E3C42">
        <w:rPr>
          <w:b/>
          <w:bCs/>
          <w:color w:val="auto"/>
          <w:szCs w:val="20"/>
        </w:rPr>
        <w:t>dois</w:t>
      </w:r>
      <w:proofErr w:type="gramEnd"/>
      <w:r w:rsidR="00301DFC" w:rsidRPr="006E3C42">
        <w:rPr>
          <w:b/>
          <w:bCs/>
          <w:color w:val="auto"/>
          <w:szCs w:val="20"/>
        </w:rPr>
        <w:t xml:space="preserve"> </w:t>
      </w:r>
      <w:r w:rsidRPr="006E3C42">
        <w:rPr>
          <w:b/>
          <w:bCs/>
          <w:color w:val="auto"/>
          <w:szCs w:val="20"/>
        </w:rPr>
        <w:t>por cento) dos investimentos financeiros do RPPS, no segmento de renda fixa.</w:t>
      </w:r>
    </w:p>
    <w:p w:rsidR="006B0FB7" w:rsidRPr="006E3C42" w:rsidRDefault="006B0FB7" w:rsidP="006B0FB7">
      <w:pPr>
        <w:spacing w:beforeLines="120" w:before="288" w:line="240" w:lineRule="auto"/>
        <w:rPr>
          <w:bCs/>
          <w:color w:val="auto"/>
          <w:szCs w:val="20"/>
        </w:rPr>
      </w:pPr>
      <w:r w:rsidRPr="006E3C42">
        <w:rPr>
          <w:bCs/>
          <w:color w:val="auto"/>
          <w:szCs w:val="20"/>
        </w:rPr>
        <w:lastRenderedPageBreak/>
        <w:t xml:space="preserve">A negociação de títulos e valores mobiliários no mercado secundário (compra/venda de títulos públicos) obedecerá ao disposto, Art. 7º, inciso </w:t>
      </w:r>
      <w:r w:rsidR="00483F20" w:rsidRPr="006E3C42">
        <w:rPr>
          <w:bCs/>
          <w:color w:val="auto"/>
          <w:szCs w:val="20"/>
        </w:rPr>
        <w:t>I, alínea</w:t>
      </w:r>
      <w:r w:rsidRPr="006E3C42">
        <w:rPr>
          <w:bCs/>
          <w:color w:val="auto"/>
          <w:szCs w:val="20"/>
        </w:rPr>
        <w:t xml:space="preserve"> “a” da Resolução CMN n° 3.922/2010, e deverão ser comercializados através de plataforma eletrônica e registrados no Sistema Especial de Liquidação e de Custódia (SELIC), não sendo permitidas compras de títulos com pagamento de Cupom com taxa inferior à Meta Atuarial.</w:t>
      </w:r>
    </w:p>
    <w:p w:rsidR="006B0FB7" w:rsidRPr="006E3C42" w:rsidRDefault="006B0FB7" w:rsidP="00226B7B">
      <w:pPr>
        <w:pStyle w:val="Ttulo2"/>
        <w:rPr>
          <w:color w:val="auto"/>
        </w:rPr>
      </w:pPr>
      <w:bookmarkStart w:id="64" w:name="_Toc435202743"/>
      <w:bookmarkStart w:id="65" w:name="_Toc490036548"/>
      <w:bookmarkStart w:id="66" w:name="_Toc521592792"/>
      <w:r w:rsidRPr="006E3C42">
        <w:rPr>
          <w:color w:val="auto"/>
        </w:rPr>
        <w:t>SEGMENTO DE RENDA VARIÁVEL</w:t>
      </w:r>
      <w:bookmarkEnd w:id="64"/>
      <w:bookmarkEnd w:id="65"/>
      <w:r w:rsidR="003C3F82" w:rsidRPr="006E3C42">
        <w:rPr>
          <w:color w:val="auto"/>
        </w:rPr>
        <w:t xml:space="preserve"> E INVESTIMENTOS ESTRUTURADOS</w:t>
      </w:r>
      <w:bookmarkEnd w:id="66"/>
    </w:p>
    <w:p w:rsidR="006B0FB7" w:rsidRPr="006E3C42" w:rsidRDefault="006B0FB7" w:rsidP="006B0FB7">
      <w:pPr>
        <w:spacing w:beforeLines="120" w:before="288" w:line="240" w:lineRule="auto"/>
        <w:rPr>
          <w:b/>
          <w:bCs/>
          <w:color w:val="auto"/>
          <w:szCs w:val="20"/>
        </w:rPr>
      </w:pPr>
      <w:r w:rsidRPr="006E3C42">
        <w:rPr>
          <w:bCs/>
          <w:color w:val="auto"/>
          <w:szCs w:val="20"/>
        </w:rPr>
        <w:t xml:space="preserve">Em relação ao segmento de renda variável, cuja limitação legal estabelece que os recursos alocados nos investimentos, cumulativamente, não deverão exceder a 30% (trinta por cento) da totalidade dos recursos em moeda corrente do RPPS, </w:t>
      </w:r>
      <w:r w:rsidRPr="006E3C42">
        <w:rPr>
          <w:b/>
          <w:bCs/>
          <w:color w:val="auto"/>
          <w:szCs w:val="20"/>
        </w:rPr>
        <w:t>limitar-se-ão a</w:t>
      </w:r>
      <w:r w:rsidRPr="006E3C42">
        <w:rPr>
          <w:bCs/>
          <w:color w:val="auto"/>
          <w:szCs w:val="20"/>
        </w:rPr>
        <w:t xml:space="preserve"> </w:t>
      </w:r>
      <w:r w:rsidR="00F3222B" w:rsidRPr="006E3C42">
        <w:rPr>
          <w:b/>
          <w:bCs/>
          <w:color w:val="auto"/>
          <w:szCs w:val="20"/>
        </w:rPr>
        <w:t>30</w:t>
      </w:r>
      <w:r w:rsidRPr="006E3C42">
        <w:rPr>
          <w:b/>
          <w:bCs/>
          <w:color w:val="auto"/>
          <w:szCs w:val="20"/>
        </w:rPr>
        <w:t>% (</w:t>
      </w:r>
      <w:r w:rsidR="00F3222B" w:rsidRPr="006E3C42">
        <w:rPr>
          <w:b/>
          <w:bCs/>
          <w:color w:val="auto"/>
          <w:szCs w:val="20"/>
        </w:rPr>
        <w:t>trinta</w:t>
      </w:r>
      <w:r w:rsidR="0036142E" w:rsidRPr="006E3C42">
        <w:rPr>
          <w:b/>
          <w:bCs/>
          <w:color w:val="auto"/>
          <w:szCs w:val="20"/>
        </w:rPr>
        <w:t xml:space="preserve"> por</w:t>
      </w:r>
      <w:r w:rsidRPr="006E3C42">
        <w:rPr>
          <w:b/>
          <w:bCs/>
          <w:color w:val="auto"/>
          <w:szCs w:val="20"/>
        </w:rPr>
        <w:t xml:space="preserve"> cento) da totalidade dos investimentos financeiros do RPPS.</w:t>
      </w:r>
    </w:p>
    <w:p w:rsidR="007A1C3A" w:rsidRPr="006E3C42" w:rsidRDefault="007A1C3A" w:rsidP="006B0FB7">
      <w:pPr>
        <w:spacing w:beforeLines="120" w:before="288" w:line="240" w:lineRule="auto"/>
        <w:rPr>
          <w:bCs/>
          <w:color w:val="auto"/>
          <w:szCs w:val="20"/>
        </w:rPr>
      </w:pPr>
      <w:r w:rsidRPr="006E3C42">
        <w:rPr>
          <w:bCs/>
          <w:color w:val="auto"/>
          <w:szCs w:val="20"/>
        </w:rPr>
        <w:t xml:space="preserve">São considerados como investimentos estruturados segundo Resolução CMN n° 3922/2010, os fundos de investimento classificados como multimercado e os fundos de investimento em participações, - </w:t>
      </w:r>
      <w:proofErr w:type="spellStart"/>
      <w:r w:rsidRPr="006E3C42">
        <w:rPr>
          <w:bCs/>
          <w:color w:val="auto"/>
          <w:szCs w:val="20"/>
        </w:rPr>
        <w:t>FIPs</w:t>
      </w:r>
      <w:proofErr w:type="spellEnd"/>
      <w:r w:rsidRPr="006E3C42">
        <w:rPr>
          <w:bCs/>
          <w:color w:val="auto"/>
          <w:szCs w:val="20"/>
        </w:rPr>
        <w:t>.</w:t>
      </w:r>
    </w:p>
    <w:p w:rsidR="006B0FB7" w:rsidRPr="006E3C42" w:rsidRDefault="006B0FB7" w:rsidP="00226B7B">
      <w:pPr>
        <w:pStyle w:val="Ttulo2"/>
        <w:rPr>
          <w:color w:val="auto"/>
        </w:rPr>
      </w:pPr>
      <w:bookmarkStart w:id="67" w:name="_Toc496794768"/>
      <w:bookmarkStart w:id="68" w:name="_Toc496794769"/>
      <w:bookmarkStart w:id="69" w:name="_Toc496794770"/>
      <w:bookmarkStart w:id="70" w:name="_Toc496794771"/>
      <w:bookmarkStart w:id="71" w:name="_Toc496794772"/>
      <w:bookmarkStart w:id="72" w:name="_Toc490036550"/>
      <w:bookmarkStart w:id="73" w:name="_Toc521592793"/>
      <w:bookmarkEnd w:id="67"/>
      <w:bookmarkEnd w:id="68"/>
      <w:bookmarkEnd w:id="69"/>
      <w:bookmarkEnd w:id="70"/>
      <w:bookmarkEnd w:id="71"/>
      <w:r w:rsidRPr="006E3C42">
        <w:rPr>
          <w:color w:val="auto"/>
        </w:rPr>
        <w:t>ENQUADRAMENTO</w:t>
      </w:r>
      <w:bookmarkEnd w:id="72"/>
      <w:bookmarkEnd w:id="73"/>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O </w:t>
      </w:r>
      <w:r w:rsidR="00AF522C" w:rsidRPr="006E3C42">
        <w:rPr>
          <w:b/>
          <w:bCs/>
          <w:color w:val="auto"/>
          <w:szCs w:val="20"/>
        </w:rPr>
        <w:t>INSTITUTO DE PREVIDÊNCIA DOS SERVIDORES PÚBLICOS DO MUNICÍPIO DE BOM JESUS DOS PERDÕES</w:t>
      </w:r>
      <w:r w:rsidRPr="006E3C42">
        <w:rPr>
          <w:bCs/>
          <w:color w:val="auto"/>
          <w:szCs w:val="20"/>
        </w:rPr>
        <w:t xml:space="preserve"> considera </w:t>
      </w:r>
      <w:r w:rsidR="00483F20" w:rsidRPr="006E3C42">
        <w:rPr>
          <w:bCs/>
          <w:color w:val="auto"/>
          <w:szCs w:val="20"/>
        </w:rPr>
        <w:t>todos</w:t>
      </w:r>
      <w:r w:rsidRPr="006E3C42">
        <w:rPr>
          <w:bCs/>
          <w:color w:val="auto"/>
          <w:szCs w:val="20"/>
        </w:rPr>
        <w:t xml:space="preserve"> os limites estipulados de enquadramento na Resolução CMN n° 3.922/2010, e como entendimento complementar a</w:t>
      </w:r>
      <w:r w:rsidR="00483F20" w:rsidRPr="006E3C42">
        <w:rPr>
          <w:bCs/>
          <w:color w:val="auto"/>
          <w:szCs w:val="20"/>
        </w:rPr>
        <w:t xml:space="preserve"> Seção III, Subseção</w:t>
      </w:r>
      <w:r w:rsidR="00253CFA" w:rsidRPr="006E3C42">
        <w:rPr>
          <w:bCs/>
          <w:color w:val="auto"/>
          <w:szCs w:val="20"/>
        </w:rPr>
        <w:t xml:space="preserve"> V dos Enquadramentos</w:t>
      </w:r>
      <w:r w:rsidRPr="006E3C42">
        <w:rPr>
          <w:bCs/>
          <w:color w:val="auto"/>
          <w:szCs w:val="20"/>
        </w:rPr>
        <w:t>, destacamos:</w:t>
      </w:r>
    </w:p>
    <w:p w:rsidR="00253CFA" w:rsidRPr="006E3C42" w:rsidRDefault="007A1C3A" w:rsidP="006B0FB7">
      <w:pPr>
        <w:spacing w:beforeLines="120" w:before="288" w:after="0" w:line="240" w:lineRule="auto"/>
        <w:rPr>
          <w:bCs/>
          <w:color w:val="auto"/>
          <w:szCs w:val="20"/>
        </w:rPr>
      </w:pPr>
      <w:r w:rsidRPr="006E3C42">
        <w:rPr>
          <w:bCs/>
          <w:color w:val="auto"/>
          <w:szCs w:val="20"/>
        </w:rPr>
        <w:t xml:space="preserve">Os investimentos que estão em desacordo com as novas exigências da Resolução </w:t>
      </w:r>
      <w:r w:rsidR="0034701E" w:rsidRPr="006E3C42">
        <w:rPr>
          <w:bCs/>
          <w:color w:val="auto"/>
          <w:szCs w:val="20"/>
        </w:rPr>
        <w:t>CMN n° 3.922/2010, p</w:t>
      </w:r>
      <w:r w:rsidR="00253CFA" w:rsidRPr="006E3C42">
        <w:rPr>
          <w:bCs/>
          <w:color w:val="auto"/>
          <w:szCs w:val="20"/>
        </w:rPr>
        <w:t xml:space="preserve">oderão </w:t>
      </w:r>
      <w:r w:rsidR="0034701E" w:rsidRPr="006E3C42">
        <w:rPr>
          <w:bCs/>
          <w:color w:val="auto"/>
          <w:szCs w:val="20"/>
        </w:rPr>
        <w:t>manter-se</w:t>
      </w:r>
      <w:r w:rsidR="00253CFA" w:rsidRPr="006E3C42">
        <w:rPr>
          <w:bCs/>
          <w:color w:val="auto"/>
          <w:szCs w:val="20"/>
        </w:rPr>
        <w:t xml:space="preserve"> em carteira por até 180 dias as aplicações</w:t>
      </w:r>
      <w:r w:rsidR="00AA2D25" w:rsidRPr="006E3C42">
        <w:rPr>
          <w:bCs/>
          <w:color w:val="auto"/>
          <w:szCs w:val="20"/>
        </w:rPr>
        <w:t>, sendo considerado infringências aportes adicionais.</w:t>
      </w:r>
    </w:p>
    <w:p w:rsidR="00AA2D25" w:rsidRPr="006E3C42" w:rsidRDefault="00AA2D25" w:rsidP="006B0FB7">
      <w:pPr>
        <w:spacing w:beforeLines="120" w:before="288" w:after="0" w:line="240" w:lineRule="auto"/>
        <w:rPr>
          <w:bCs/>
          <w:color w:val="auto"/>
          <w:szCs w:val="20"/>
        </w:rPr>
      </w:pPr>
      <w:r w:rsidRPr="006E3C42">
        <w:rPr>
          <w:bCs/>
          <w:color w:val="auto"/>
          <w:szCs w:val="20"/>
        </w:rPr>
        <w:t xml:space="preserve">Poderão </w:t>
      </w:r>
      <w:r w:rsidR="0034701E" w:rsidRPr="006E3C42">
        <w:rPr>
          <w:bCs/>
          <w:color w:val="auto"/>
          <w:szCs w:val="20"/>
        </w:rPr>
        <w:t xml:space="preserve">ainda </w:t>
      </w:r>
      <w:r w:rsidRPr="006E3C42">
        <w:rPr>
          <w:bCs/>
          <w:color w:val="auto"/>
          <w:szCs w:val="20"/>
        </w:rPr>
        <w:t>ser mantidas em carteira até a respectiva data</w:t>
      </w:r>
      <w:r w:rsidR="0034701E" w:rsidRPr="006E3C42">
        <w:rPr>
          <w:bCs/>
          <w:color w:val="auto"/>
          <w:szCs w:val="20"/>
        </w:rPr>
        <w:t xml:space="preserve"> de vencimento</w:t>
      </w:r>
      <w:r w:rsidRPr="006E3C42">
        <w:rPr>
          <w:bCs/>
          <w:color w:val="auto"/>
          <w:szCs w:val="20"/>
        </w:rPr>
        <w:t xml:space="preserve">, as aplicações que apresentaram prazos </w:t>
      </w:r>
      <w:r w:rsidR="0034701E" w:rsidRPr="006E3C42">
        <w:rPr>
          <w:bCs/>
          <w:color w:val="auto"/>
          <w:szCs w:val="20"/>
        </w:rPr>
        <w:t xml:space="preserve">de </w:t>
      </w:r>
      <w:r w:rsidRPr="006E3C42">
        <w:rPr>
          <w:bCs/>
          <w:color w:val="auto"/>
          <w:szCs w:val="20"/>
        </w:rPr>
        <w:t>resgate, carência ou para conversão de cotas, sendo considerado infringências aportes adicionais.</w:t>
      </w:r>
    </w:p>
    <w:p w:rsidR="006B0FB7" w:rsidRPr="006E3C42" w:rsidRDefault="006B0FB7" w:rsidP="00695F71">
      <w:pPr>
        <w:spacing w:beforeLines="120" w:before="288" w:line="240" w:lineRule="auto"/>
        <w:rPr>
          <w:bCs/>
          <w:color w:val="auto"/>
          <w:szCs w:val="20"/>
        </w:rPr>
      </w:pPr>
      <w:r w:rsidRPr="006E3C42">
        <w:rPr>
          <w:bCs/>
          <w:color w:val="auto"/>
          <w:szCs w:val="20"/>
        </w:rPr>
        <w:t xml:space="preserve">Serão entendidos como </w:t>
      </w:r>
      <w:proofErr w:type="spellStart"/>
      <w:r w:rsidRPr="006E3C42">
        <w:rPr>
          <w:bCs/>
          <w:color w:val="auto"/>
          <w:szCs w:val="20"/>
        </w:rPr>
        <w:t>desenquadramento</w:t>
      </w:r>
      <w:proofErr w:type="spellEnd"/>
      <w:r w:rsidRPr="006E3C42">
        <w:rPr>
          <w:bCs/>
          <w:color w:val="auto"/>
          <w:szCs w:val="20"/>
        </w:rPr>
        <w:t xml:space="preserve"> passivo, os limites excedidos decorrentes de valorização e desvalorização dos ativos ou qualquer tipo de </w:t>
      </w:r>
      <w:proofErr w:type="spellStart"/>
      <w:r w:rsidRPr="006E3C42">
        <w:rPr>
          <w:bCs/>
          <w:color w:val="auto"/>
          <w:szCs w:val="20"/>
        </w:rPr>
        <w:t>desenquadramento</w:t>
      </w:r>
      <w:proofErr w:type="spellEnd"/>
      <w:r w:rsidRPr="006E3C42">
        <w:rPr>
          <w:bCs/>
          <w:color w:val="auto"/>
          <w:szCs w:val="20"/>
        </w:rPr>
        <w:t xml:space="preserve"> que não tenha sido resultado de ação direta do RPPS.</w:t>
      </w:r>
    </w:p>
    <w:p w:rsidR="006B0FB7" w:rsidRPr="006E3C42" w:rsidRDefault="006B0FB7" w:rsidP="00226B7B">
      <w:pPr>
        <w:pStyle w:val="Ttulo2"/>
        <w:rPr>
          <w:color w:val="auto"/>
        </w:rPr>
      </w:pPr>
      <w:bookmarkStart w:id="74" w:name="_Toc435202745"/>
      <w:bookmarkStart w:id="75" w:name="_Toc490036551"/>
      <w:bookmarkStart w:id="76" w:name="_Toc521592794"/>
      <w:r w:rsidRPr="006E3C42">
        <w:rPr>
          <w:color w:val="auto"/>
        </w:rPr>
        <w:t>VEDAÇÕES</w:t>
      </w:r>
      <w:bookmarkEnd w:id="74"/>
      <w:bookmarkEnd w:id="75"/>
      <w:bookmarkEnd w:id="76"/>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O Comitê de Investimento do </w:t>
      </w:r>
      <w:r w:rsidR="00AF522C" w:rsidRPr="006E3C42">
        <w:rPr>
          <w:b/>
          <w:bCs/>
          <w:color w:val="auto"/>
          <w:szCs w:val="20"/>
        </w:rPr>
        <w:t>INSTITUTO DE PREVIDÊNCIA DOS SERVIDORES PÚBLICOS DO MUNICÍPIO DE BOM JESUS DOS PERDÕES</w:t>
      </w:r>
      <w:r w:rsidRPr="006E3C42">
        <w:rPr>
          <w:bCs/>
          <w:color w:val="auto"/>
          <w:szCs w:val="20"/>
        </w:rPr>
        <w:t xml:space="preserve"> deverá seguir as vedações estabelecidas pela Resolução CMN n° 3.922/2010, ficando adicionalmente vedada a aquisição de:</w:t>
      </w:r>
    </w:p>
    <w:p w:rsidR="006B0FB7" w:rsidRPr="006E3C42" w:rsidRDefault="006B0FB7" w:rsidP="00695F71">
      <w:pPr>
        <w:numPr>
          <w:ilvl w:val="0"/>
          <w:numId w:val="7"/>
        </w:numPr>
        <w:spacing w:beforeLines="120" w:before="288" w:after="0" w:line="240" w:lineRule="auto"/>
        <w:ind w:left="567"/>
        <w:rPr>
          <w:bCs/>
          <w:color w:val="auto"/>
          <w:szCs w:val="20"/>
        </w:rPr>
      </w:pPr>
      <w:r w:rsidRPr="006E3C42">
        <w:rPr>
          <w:bCs/>
          <w:color w:val="auto"/>
          <w:szCs w:val="20"/>
        </w:rPr>
        <w:t>Operações compromissadas;</w:t>
      </w:r>
    </w:p>
    <w:p w:rsidR="004E31B0" w:rsidRPr="006E3C42" w:rsidRDefault="004E31B0" w:rsidP="00695F71">
      <w:pPr>
        <w:numPr>
          <w:ilvl w:val="0"/>
          <w:numId w:val="7"/>
        </w:numPr>
        <w:spacing w:beforeLines="120" w:before="288" w:after="0" w:line="240" w:lineRule="auto"/>
        <w:ind w:left="567"/>
        <w:rPr>
          <w:bCs/>
          <w:color w:val="auto"/>
          <w:szCs w:val="20"/>
        </w:rPr>
      </w:pPr>
      <w:r w:rsidRPr="006E3C42">
        <w:rPr>
          <w:bCs/>
          <w:color w:val="auto"/>
          <w:szCs w:val="20"/>
        </w:rPr>
        <w:t>Depósitos em Poupança;</w:t>
      </w:r>
    </w:p>
    <w:p w:rsidR="006B0FB7" w:rsidRPr="006E3C42" w:rsidRDefault="006B0FB7" w:rsidP="00695F71">
      <w:pPr>
        <w:numPr>
          <w:ilvl w:val="0"/>
          <w:numId w:val="7"/>
        </w:numPr>
        <w:spacing w:beforeLines="120" w:before="288" w:after="0" w:line="240" w:lineRule="auto"/>
        <w:ind w:left="567"/>
        <w:rPr>
          <w:bCs/>
          <w:color w:val="auto"/>
          <w:szCs w:val="20"/>
        </w:rPr>
      </w:pPr>
      <w:r w:rsidRPr="006E3C42">
        <w:rPr>
          <w:bCs/>
          <w:color w:val="auto"/>
          <w:szCs w:val="20"/>
        </w:rPr>
        <w:t>Aquisição de qualquer ativo final, emitido por Instituições Financeiras com alto risco de crédito;</w:t>
      </w:r>
    </w:p>
    <w:p w:rsidR="006B0FB7" w:rsidRPr="006E3C42" w:rsidRDefault="006B0FB7" w:rsidP="00695F71">
      <w:pPr>
        <w:numPr>
          <w:ilvl w:val="0"/>
          <w:numId w:val="7"/>
        </w:numPr>
        <w:spacing w:beforeLines="120" w:before="288" w:after="0" w:line="240" w:lineRule="auto"/>
        <w:ind w:left="567"/>
        <w:rPr>
          <w:bCs/>
          <w:color w:val="auto"/>
          <w:szCs w:val="20"/>
        </w:rPr>
      </w:pPr>
      <w:r w:rsidRPr="006E3C42">
        <w:rPr>
          <w:bCs/>
          <w:color w:val="auto"/>
          <w:szCs w:val="20"/>
        </w:rPr>
        <w:t>Cotas de Fundos de Investimentos em Direitos Creditórios, constituídos sob forma de condomínio aberto ou fechado que não possuam segregação de funções na prestação de serviços, sendo ao menos, obrigatoriamente, duas pessoas jurídicas diferentes, de suas controladoras, de entidades por elas direta ou indiretamente controladas ou quais outras sociedades sob controle comum;</w:t>
      </w:r>
    </w:p>
    <w:p w:rsidR="006B0FB7" w:rsidRPr="006E3C42" w:rsidRDefault="006B0FB7" w:rsidP="00695F71">
      <w:pPr>
        <w:numPr>
          <w:ilvl w:val="0"/>
          <w:numId w:val="7"/>
        </w:numPr>
        <w:spacing w:beforeLines="120" w:before="288" w:after="0" w:line="240" w:lineRule="auto"/>
        <w:ind w:left="567"/>
        <w:rPr>
          <w:bCs/>
          <w:color w:val="auto"/>
          <w:szCs w:val="20"/>
        </w:rPr>
      </w:pPr>
      <w:r w:rsidRPr="006E3C42">
        <w:rPr>
          <w:bCs/>
          <w:color w:val="auto"/>
          <w:szCs w:val="20"/>
        </w:rPr>
        <w:t>Cotas de Fundos Multimercados cujos regulamentos não determinem que os ativos de créditos que compõem suas carteiras sejam considerados como de baixo risco de crédito por, no mínimo, uma das agências classificadoras de risco citadas no item 7.2 - Controle do Risco de Crédito da presente Política de Investimentos;</w:t>
      </w:r>
    </w:p>
    <w:p w:rsidR="006B0FB7" w:rsidRPr="006E3C42" w:rsidRDefault="006B0FB7" w:rsidP="00695F71">
      <w:pPr>
        <w:numPr>
          <w:ilvl w:val="0"/>
          <w:numId w:val="7"/>
        </w:numPr>
        <w:spacing w:beforeLines="120" w:before="288" w:after="0" w:line="240" w:lineRule="auto"/>
        <w:ind w:left="567"/>
        <w:rPr>
          <w:bCs/>
          <w:color w:val="auto"/>
          <w:szCs w:val="20"/>
        </w:rPr>
      </w:pPr>
      <w:r w:rsidRPr="006E3C42">
        <w:rPr>
          <w:bCs/>
          <w:color w:val="auto"/>
          <w:szCs w:val="20"/>
        </w:rPr>
        <w:t>Cotas de Fundos em Participações (FIP) que não prevejam em seu regulamento a constituição de um Comitê de Acompanhamento que se reúna, no mínimo, trimestralmente e que faça a lavratura de atas, com vistas a monitorar o desempenho dos gestores e das empresas investidas;</w:t>
      </w:r>
    </w:p>
    <w:p w:rsidR="00A334F1" w:rsidRPr="006E3C42" w:rsidRDefault="006B0FB7" w:rsidP="00A334F1">
      <w:pPr>
        <w:numPr>
          <w:ilvl w:val="0"/>
          <w:numId w:val="7"/>
        </w:numPr>
        <w:spacing w:beforeLines="120" w:before="288" w:after="0" w:line="240" w:lineRule="auto"/>
        <w:ind w:left="567"/>
        <w:rPr>
          <w:bCs/>
          <w:color w:val="auto"/>
          <w:szCs w:val="20"/>
        </w:rPr>
      </w:pPr>
      <w:r w:rsidRPr="006E3C42">
        <w:rPr>
          <w:bCs/>
          <w:color w:val="auto"/>
          <w:szCs w:val="20"/>
        </w:rPr>
        <w:lastRenderedPageBreak/>
        <w:t>Cotas de Fundos de Investimentos Imobiliários (FII) que não prevejam em seu regulamento a constituição de um Comitê de Acompanhamento que se reúna, no mínimo, trimestralmente, e que faça a lavratura de atas, com vistas a monitorar o desempenho dos gestores e das em</w:t>
      </w:r>
      <w:r w:rsidR="00A334F1" w:rsidRPr="006E3C42">
        <w:rPr>
          <w:bCs/>
          <w:color w:val="auto"/>
          <w:szCs w:val="20"/>
        </w:rPr>
        <w:t>presas investidas;</w:t>
      </w:r>
    </w:p>
    <w:p w:rsidR="00DA5D4A" w:rsidRPr="006E3C42" w:rsidRDefault="00A334F1" w:rsidP="00AC33CD">
      <w:pPr>
        <w:numPr>
          <w:ilvl w:val="0"/>
          <w:numId w:val="7"/>
        </w:numPr>
        <w:spacing w:beforeLines="120" w:before="288" w:after="0" w:line="240" w:lineRule="auto"/>
        <w:ind w:left="567"/>
        <w:rPr>
          <w:bCs/>
          <w:color w:val="auto"/>
          <w:szCs w:val="20"/>
        </w:rPr>
      </w:pPr>
      <w:r w:rsidRPr="006E3C42">
        <w:rPr>
          <w:bCs/>
          <w:color w:val="auto"/>
          <w:szCs w:val="20"/>
        </w:rPr>
        <w:t>A classificação e enquadramento das cotas de fundos de investimento não podem ser descaracterizados pelos ativos finais investidos devendo haver correspondência com a política de investimentos do fundo.</w:t>
      </w:r>
    </w:p>
    <w:p w:rsidR="006B0FB7" w:rsidRPr="006E3C42" w:rsidRDefault="006B0FB7" w:rsidP="00695F71">
      <w:pPr>
        <w:pStyle w:val="Ttulo1"/>
        <w:rPr>
          <w:color w:val="auto"/>
        </w:rPr>
      </w:pPr>
      <w:bookmarkStart w:id="77" w:name="_Toc496794775"/>
      <w:bookmarkStart w:id="78" w:name="_Toc435202746"/>
      <w:bookmarkStart w:id="79" w:name="_Toc490036552"/>
      <w:bookmarkStart w:id="80" w:name="_Toc521592795"/>
      <w:bookmarkEnd w:id="77"/>
      <w:r w:rsidRPr="006E3C42">
        <w:rPr>
          <w:color w:val="auto"/>
        </w:rPr>
        <w:t>META ATUARIAL</w:t>
      </w:r>
      <w:bookmarkEnd w:id="78"/>
      <w:bookmarkEnd w:id="79"/>
      <w:bookmarkEnd w:id="80"/>
    </w:p>
    <w:p w:rsidR="006B0FB7" w:rsidRPr="006E3C42" w:rsidRDefault="006B0FB7" w:rsidP="006B0FB7">
      <w:pPr>
        <w:spacing w:beforeLines="120" w:before="288" w:after="0" w:line="240" w:lineRule="auto"/>
        <w:rPr>
          <w:bCs/>
          <w:color w:val="auto"/>
          <w:szCs w:val="20"/>
        </w:rPr>
      </w:pPr>
      <w:r w:rsidRPr="006E3C42">
        <w:rPr>
          <w:bCs/>
          <w:color w:val="auto"/>
          <w:szCs w:val="20"/>
        </w:rPr>
        <w:t>A Portaria MPS nº 87, de 02 de fevereiro de 2005, publicada no DOU de 03/02/2005, que estabelece as Normas Gerais de Atuária dos Regimes Próprios de Previdência Social, determina que a taxa real de juros a ser utilizada nas Avaliações Atuariais será de, no máximo, 6,00% (seis por cento) ao ano.</w:t>
      </w:r>
    </w:p>
    <w:p w:rsidR="006B0FB7" w:rsidRPr="006E3C42" w:rsidRDefault="006B0FB7" w:rsidP="006B0FB7">
      <w:pPr>
        <w:spacing w:beforeLines="120" w:before="288" w:after="0" w:line="240" w:lineRule="auto"/>
        <w:rPr>
          <w:bCs/>
          <w:color w:val="auto"/>
          <w:szCs w:val="20"/>
        </w:rPr>
      </w:pPr>
      <w:r w:rsidRPr="006E3C42">
        <w:rPr>
          <w:bCs/>
          <w:color w:val="auto"/>
          <w:szCs w:val="20"/>
        </w:rPr>
        <w:t>Também chamada de meta atuarial, é a taxa de desconto utilizada no cálculo atuarial para trazer a valor presente, todos os compromissos do plano de benefícios para com seus beneficiários na linha do tempo, determinando assim o quanto de patrimônio o Regime Próprio de Previdência Social deverá possuir hoje para manter o equilíbrio atuarial.</w:t>
      </w:r>
    </w:p>
    <w:p w:rsidR="006B0FB7" w:rsidRPr="006E3C42" w:rsidRDefault="006B0FB7" w:rsidP="006B0FB7">
      <w:pPr>
        <w:spacing w:beforeLines="120" w:before="288" w:after="0" w:line="240" w:lineRule="auto"/>
        <w:rPr>
          <w:bCs/>
          <w:color w:val="auto"/>
          <w:szCs w:val="20"/>
        </w:rPr>
      </w:pPr>
      <w:r w:rsidRPr="006E3C42">
        <w:rPr>
          <w:bCs/>
          <w:color w:val="auto"/>
          <w:szCs w:val="20"/>
        </w:rPr>
        <w:t>Obviamente, esse equilíbrio somente será possível de se obter caso os investimentos sejam remunerados, no mínimo, por essa mesma taxa. Do contrário, ou seja, se a taxa que remunera os investimentos passe a ser inferior a taxa utilizada no cálculo atuarial, o plano de benefícios se tornará insolvente, comprometendo o pagamento das aposentadorias e pensões em algum momento no futuro.</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Considerando a distribuição dos recursos conforme a estratégia alvo utilizada nesta Política de Investimentos, as projeções indicam que a rentabilidade real estimada para o conjunto dos investimentos </w:t>
      </w:r>
      <w:r w:rsidR="0042217A" w:rsidRPr="006E3C42">
        <w:rPr>
          <w:bCs/>
          <w:color w:val="auto"/>
          <w:szCs w:val="20"/>
        </w:rPr>
        <w:t xml:space="preserve">ao final do ano de </w:t>
      </w:r>
      <w:r w:rsidR="00CB3977" w:rsidRPr="006E3C42">
        <w:rPr>
          <w:bCs/>
          <w:color w:val="auto"/>
          <w:szCs w:val="20"/>
        </w:rPr>
        <w:t>2019</w:t>
      </w:r>
      <w:r w:rsidR="0042217A" w:rsidRPr="006E3C42">
        <w:rPr>
          <w:bCs/>
          <w:color w:val="auto"/>
          <w:szCs w:val="20"/>
        </w:rPr>
        <w:t xml:space="preserve"> será de </w:t>
      </w:r>
      <w:r w:rsidR="00516E88" w:rsidRPr="006E3C42">
        <w:rPr>
          <w:b/>
          <w:bCs/>
          <w:color w:val="auto"/>
          <w:szCs w:val="20"/>
        </w:rPr>
        <w:t>6,00% (seis</w:t>
      </w:r>
      <w:r w:rsidRPr="006E3C42">
        <w:rPr>
          <w:b/>
          <w:bCs/>
          <w:color w:val="auto"/>
          <w:szCs w:val="20"/>
        </w:rPr>
        <w:t xml:space="preserve"> por cento)</w:t>
      </w:r>
      <w:r w:rsidRPr="006E3C42">
        <w:rPr>
          <w:bCs/>
          <w:color w:val="auto"/>
          <w:szCs w:val="20"/>
        </w:rPr>
        <w:t xml:space="preserve">, somado a inflação </w:t>
      </w:r>
      <w:r w:rsidR="00516E88" w:rsidRPr="006E3C42">
        <w:rPr>
          <w:bCs/>
          <w:color w:val="auto"/>
          <w:szCs w:val="20"/>
        </w:rPr>
        <w:t>medida pelo INPC – Índice Nacional de Preços ao Consumidor</w:t>
      </w:r>
      <w:r w:rsidRPr="006E3C42">
        <w:rPr>
          <w:bCs/>
          <w:color w:val="auto"/>
          <w:szCs w:val="20"/>
        </w:rPr>
        <w:t>, ou seja, superior à taxa de juros máxima admitida pela norma legal.</w:t>
      </w:r>
    </w:p>
    <w:p w:rsidR="008815C6" w:rsidRPr="006E3C42" w:rsidRDefault="006B0FB7" w:rsidP="00AC33CD">
      <w:pPr>
        <w:spacing w:beforeLines="120" w:before="288" w:after="0" w:line="240" w:lineRule="auto"/>
        <w:rPr>
          <w:bCs/>
          <w:color w:val="auto"/>
          <w:szCs w:val="20"/>
        </w:rPr>
      </w:pPr>
      <w:r w:rsidRPr="006E3C42">
        <w:rPr>
          <w:bCs/>
          <w:color w:val="auto"/>
          <w:szCs w:val="20"/>
        </w:rPr>
        <w:t>Ainda assim, o </w:t>
      </w:r>
      <w:r w:rsidR="00AF522C" w:rsidRPr="006E3C42">
        <w:rPr>
          <w:b/>
          <w:bCs/>
          <w:color w:val="auto"/>
          <w:szCs w:val="20"/>
        </w:rPr>
        <w:t>INSTITUTO DE PREVIDÊNCIA DOS SERVIDORES PÚBLICOS DO MUNICÍPIO DE BOM JESUS DOS PERDÕES</w:t>
      </w:r>
      <w:r w:rsidRPr="006E3C42">
        <w:rPr>
          <w:bCs/>
          <w:color w:val="auto"/>
          <w:szCs w:val="20"/>
        </w:rPr>
        <w:t> avaliará a execução de estudos que evidenciem, no longo prazo, qual a real situação financeiro-atuarial do plano de benefícios previdenciários.</w:t>
      </w:r>
    </w:p>
    <w:p w:rsidR="006B0FB7" w:rsidRPr="006E3C42" w:rsidRDefault="006B0FB7" w:rsidP="00695F71">
      <w:pPr>
        <w:pStyle w:val="Ttulo1"/>
        <w:rPr>
          <w:color w:val="auto"/>
        </w:rPr>
      </w:pPr>
      <w:bookmarkStart w:id="81" w:name="_Toc435202747"/>
      <w:bookmarkStart w:id="82" w:name="_Toc490036553"/>
      <w:bookmarkStart w:id="83" w:name="_Toc521592796"/>
      <w:r w:rsidRPr="006E3C42">
        <w:rPr>
          <w:color w:val="auto"/>
        </w:rPr>
        <w:t>ESTRUTURA DE GESTÃO DOS ATIVOS</w:t>
      </w:r>
      <w:bookmarkEnd w:id="81"/>
      <w:bookmarkEnd w:id="82"/>
      <w:bookmarkEnd w:id="83"/>
    </w:p>
    <w:p w:rsidR="00C77896" w:rsidRPr="006E3C42" w:rsidRDefault="00C77896" w:rsidP="00C77896">
      <w:pPr>
        <w:spacing w:beforeLines="120" w:before="288" w:line="240" w:lineRule="auto"/>
        <w:rPr>
          <w:bCs/>
          <w:color w:val="auto"/>
          <w:szCs w:val="20"/>
        </w:rPr>
      </w:pPr>
      <w:r w:rsidRPr="006E3C42">
        <w:rPr>
          <w:bCs/>
          <w:color w:val="auto"/>
          <w:szCs w:val="20"/>
        </w:rPr>
        <w:t>De acordo com as hipóteses previstas na Resolução CMN nº 3.922/2010, a aplicação dos ativos será realizada por gestão própria, terceirizada ou mista.</w:t>
      </w:r>
    </w:p>
    <w:p w:rsidR="00C77896" w:rsidRPr="006E3C42" w:rsidRDefault="00C77896" w:rsidP="00C77896">
      <w:pPr>
        <w:spacing w:beforeLines="120" w:before="288" w:line="240" w:lineRule="auto"/>
        <w:rPr>
          <w:bCs/>
          <w:color w:val="auto"/>
          <w:szCs w:val="20"/>
        </w:rPr>
      </w:pPr>
      <w:r w:rsidRPr="006E3C42">
        <w:rPr>
          <w:bCs/>
          <w:color w:val="auto"/>
          <w:szCs w:val="20"/>
        </w:rPr>
        <w:t xml:space="preserve">Para a vigência desta Política de Investimentos, a gestão das aplicações dos recursos do </w:t>
      </w:r>
      <w:r w:rsidR="00AF522C" w:rsidRPr="006E3C42">
        <w:rPr>
          <w:b/>
          <w:bCs/>
          <w:color w:val="auto"/>
          <w:szCs w:val="20"/>
        </w:rPr>
        <w:t>INSTITUTO DE PREVIDÊNCIA DOS SERVIDORES PÚBLICOS DO MUNICÍPIO DE BOM JESUS DOS PERDÕES</w:t>
      </w:r>
      <w:r w:rsidRPr="006E3C42">
        <w:rPr>
          <w:bCs/>
          <w:color w:val="auto"/>
          <w:szCs w:val="20"/>
        </w:rPr>
        <w:t xml:space="preserve"> será própria.</w:t>
      </w:r>
    </w:p>
    <w:p w:rsidR="00C77896" w:rsidRPr="006E3C42" w:rsidRDefault="00C77896" w:rsidP="00226B7B">
      <w:pPr>
        <w:pStyle w:val="Ttulo2"/>
        <w:rPr>
          <w:color w:val="auto"/>
        </w:rPr>
      </w:pPr>
      <w:r w:rsidRPr="006E3C42">
        <w:rPr>
          <w:color w:val="auto"/>
        </w:rPr>
        <w:t>GESTÃO PRÓPRIA</w:t>
      </w:r>
    </w:p>
    <w:p w:rsidR="00C77896" w:rsidRPr="006E3C42" w:rsidRDefault="00C77896" w:rsidP="00C77896">
      <w:pPr>
        <w:rPr>
          <w:color w:val="auto"/>
        </w:rPr>
      </w:pPr>
      <w:r w:rsidRPr="006E3C42">
        <w:rPr>
          <w:color w:val="auto"/>
        </w:rPr>
        <w:t>A adoção deste modelo de gestão significa que o total dos recursos ficará sob a responsabilidade do RPPS, com profissionais qualificados e certificados por entidade de certificação reconhecida pelo Ministério da Previdência Social, conforme exigência da Portaria MPS nº 519, de 24 de agosto de 2011, e contará com Comitê de Investimentos como órgão participativo do processo de análise, com o objetivo de gerenciar a aplicação de recursos conjuntamente com a Diretoria Executiva, escolhendo os ativos, delimitando os níveis de riscos, estabelecendo os prazos para as aplicações, sendo obrigatório o Credenciamento de administradores e gestores de fundos de investimentos junto ao RPPS.</w:t>
      </w:r>
    </w:p>
    <w:p w:rsidR="00C77896" w:rsidRPr="006E3C42" w:rsidRDefault="00C77896" w:rsidP="00C77896">
      <w:pPr>
        <w:rPr>
          <w:color w:val="auto"/>
        </w:rPr>
      </w:pPr>
      <w:r w:rsidRPr="006E3C42">
        <w:rPr>
          <w:color w:val="auto"/>
        </w:rPr>
        <w:t>O RPPS tem ainda a prerrogativa da contratação de empresa de consultoria, de acordo com os critérios estabelecidos na Resolução CMN nº 3.922/2010, para prestar assessoramento às aplicações de recursos.</w:t>
      </w:r>
    </w:p>
    <w:p w:rsidR="00577000" w:rsidRPr="006E3C42" w:rsidRDefault="00577000" w:rsidP="00C77896">
      <w:pPr>
        <w:spacing w:beforeLines="120" w:before="288" w:line="240" w:lineRule="auto"/>
        <w:rPr>
          <w:bCs/>
          <w:color w:val="auto"/>
          <w:szCs w:val="20"/>
        </w:rPr>
      </w:pPr>
      <w:r w:rsidRPr="006E3C42">
        <w:rPr>
          <w:bCs/>
          <w:color w:val="auto"/>
          <w:szCs w:val="20"/>
        </w:rPr>
        <w:t>Fica condicionado a contratação de empresa de consultoria a não receber qualquer remuneração, benefício ou vantagem que potencialmente prejudiquem a independência na prestação de serviço, bem como não figure como emissor de ativos ou atue na origem e estruturação de produtos de investimentos.</w:t>
      </w:r>
    </w:p>
    <w:p w:rsidR="006B0FB7" w:rsidRPr="006E3C42" w:rsidRDefault="006B0FB7" w:rsidP="00226B7B">
      <w:pPr>
        <w:pStyle w:val="Ttulo2"/>
        <w:rPr>
          <w:color w:val="auto"/>
        </w:rPr>
      </w:pPr>
      <w:bookmarkStart w:id="84" w:name="_Toc435189691"/>
      <w:bookmarkStart w:id="85" w:name="_Toc435202749"/>
      <w:bookmarkStart w:id="86" w:name="_Toc490036555"/>
      <w:bookmarkStart w:id="87" w:name="_Toc521592798"/>
      <w:r w:rsidRPr="006E3C42">
        <w:rPr>
          <w:color w:val="auto"/>
        </w:rPr>
        <w:lastRenderedPageBreak/>
        <w:t>ÓRGÃOS DE E</w:t>
      </w:r>
      <w:bookmarkEnd w:id="84"/>
      <w:r w:rsidRPr="006E3C42">
        <w:rPr>
          <w:color w:val="auto"/>
        </w:rPr>
        <w:t>XECUÇÃO</w:t>
      </w:r>
      <w:bookmarkEnd w:id="85"/>
      <w:bookmarkEnd w:id="86"/>
      <w:bookmarkEnd w:id="87"/>
    </w:p>
    <w:p w:rsidR="006B0FB7" w:rsidRPr="006E3C42" w:rsidRDefault="006B0FB7" w:rsidP="006B0FB7">
      <w:pPr>
        <w:spacing w:beforeLines="120" w:before="288" w:after="0" w:line="240" w:lineRule="auto"/>
        <w:rPr>
          <w:bCs/>
          <w:color w:val="auto"/>
          <w:szCs w:val="20"/>
        </w:rPr>
      </w:pPr>
      <w:r w:rsidRPr="006E3C42">
        <w:rPr>
          <w:bCs/>
          <w:color w:val="auto"/>
          <w:szCs w:val="20"/>
        </w:rPr>
        <w:t>Compete ao Comitê de Investimentos a elaboração da Política de Investimento, que deve submetê-la para aprovação ao Conselho Deliberativo, órgão superior competente para definições estratégicas do RPPS. Essa estrutura garante a demonstração da segregação de funções adotadas pelos órgãos de execução, estando em linha com as práticas de mercado para uma boa governança corporativa.</w:t>
      </w:r>
    </w:p>
    <w:p w:rsidR="008815C6" w:rsidRPr="006E3C42" w:rsidRDefault="006B0FB7" w:rsidP="00AC33CD">
      <w:pPr>
        <w:spacing w:beforeLines="120" w:before="288" w:after="0" w:line="240" w:lineRule="auto"/>
        <w:rPr>
          <w:bCs/>
          <w:color w:val="auto"/>
          <w:szCs w:val="20"/>
        </w:rPr>
      </w:pPr>
      <w:r w:rsidRPr="006E3C42">
        <w:rPr>
          <w:bCs/>
          <w:color w:val="auto"/>
          <w:szCs w:val="20"/>
        </w:rPr>
        <w:t>Esta política de investimentos estabelece as diretrizes a serem tomadas pelo comitê de investimentos na gestão dos recursos, visando atingir e obter o equilíbrio financeiro e atuarial com a solvabilidade do plano.</w:t>
      </w:r>
    </w:p>
    <w:p w:rsidR="006B0FB7" w:rsidRPr="006E3C42" w:rsidRDefault="006B0FB7" w:rsidP="00695F71">
      <w:pPr>
        <w:pStyle w:val="Ttulo1"/>
        <w:rPr>
          <w:color w:val="auto"/>
        </w:rPr>
      </w:pPr>
      <w:bookmarkStart w:id="88" w:name="_Toc435202750"/>
      <w:bookmarkStart w:id="89" w:name="_Toc490036556"/>
      <w:bookmarkStart w:id="90" w:name="_Toc521592799"/>
      <w:r w:rsidRPr="006E3C42">
        <w:rPr>
          <w:color w:val="auto"/>
        </w:rPr>
        <w:t>CONTROLE DE RISCO</w:t>
      </w:r>
      <w:bookmarkEnd w:id="88"/>
      <w:bookmarkEnd w:id="89"/>
      <w:bookmarkEnd w:id="90"/>
    </w:p>
    <w:p w:rsidR="006B0FB7" w:rsidRPr="006E3C42" w:rsidRDefault="006B0FB7" w:rsidP="006B0FB7">
      <w:pPr>
        <w:spacing w:beforeLines="120" w:before="288" w:after="0" w:line="240" w:lineRule="auto"/>
        <w:rPr>
          <w:bCs/>
          <w:color w:val="auto"/>
          <w:szCs w:val="20"/>
        </w:rPr>
      </w:pPr>
      <w:r w:rsidRPr="006E3C42">
        <w:rPr>
          <w:bCs/>
          <w:color w:val="auto"/>
          <w:szCs w:val="20"/>
        </w:rPr>
        <w:t>É relevante mencionar que qualquer aplicação financeira estará sujeita à incidência de fatores de risco que podem afetar adversamente o seu retorno, entre eles:</w:t>
      </w:r>
    </w:p>
    <w:p w:rsidR="006B0FB7" w:rsidRPr="006E3C42" w:rsidRDefault="006B0FB7" w:rsidP="006B0FB7">
      <w:pPr>
        <w:numPr>
          <w:ilvl w:val="0"/>
          <w:numId w:val="8"/>
        </w:numPr>
        <w:spacing w:beforeLines="120" w:before="288" w:after="0" w:line="240" w:lineRule="auto"/>
        <w:rPr>
          <w:bCs/>
          <w:color w:val="auto"/>
          <w:szCs w:val="20"/>
        </w:rPr>
      </w:pPr>
      <w:r w:rsidRPr="006E3C42">
        <w:rPr>
          <w:b/>
          <w:bCs/>
          <w:color w:val="auto"/>
          <w:szCs w:val="20"/>
        </w:rPr>
        <w:t>Risco de Mercado</w:t>
      </w:r>
      <w:r w:rsidRPr="006E3C42">
        <w:rPr>
          <w:bCs/>
          <w:color w:val="auto"/>
          <w:szCs w:val="20"/>
        </w:rPr>
        <w:t xml:space="preserve"> – é o risco inerente a todas as modalidades de aplicações financeiras disponíveis no mercado financeiro; corresponde à incerteza em relação ao resultado de um investimento financeiro ou de uma carteira de investimento, em decorrência de mudanças futuras nas condições de mercado. É o risco de variações, oscilações nas taxas e preços de mercado, tais como taxa de juros, preços de ações e outros índices. É ligado às oscilações do mercado financeiro.</w:t>
      </w:r>
    </w:p>
    <w:p w:rsidR="006B0FB7" w:rsidRPr="006E3C42" w:rsidRDefault="006B0FB7" w:rsidP="006B0FB7">
      <w:pPr>
        <w:numPr>
          <w:ilvl w:val="0"/>
          <w:numId w:val="8"/>
        </w:numPr>
        <w:spacing w:beforeLines="120" w:before="288" w:after="0" w:line="240" w:lineRule="auto"/>
        <w:rPr>
          <w:bCs/>
          <w:color w:val="auto"/>
          <w:szCs w:val="20"/>
        </w:rPr>
      </w:pPr>
      <w:r w:rsidRPr="006E3C42">
        <w:rPr>
          <w:b/>
          <w:bCs/>
          <w:color w:val="auto"/>
          <w:szCs w:val="20"/>
        </w:rPr>
        <w:t>Risco de Crédito</w:t>
      </w:r>
      <w:r w:rsidRPr="006E3C42">
        <w:rPr>
          <w:bCs/>
          <w:color w:val="auto"/>
          <w:szCs w:val="20"/>
        </w:rPr>
        <w:t xml:space="preserve"> - também conhecido como risco institucional ou de contraparte, é aquele em que há a possibilidade de o retorno de investimento não ser honrado pela instituição que emitiu determinado título, na data e nas condições negociadas e contratadas;</w:t>
      </w:r>
    </w:p>
    <w:p w:rsidR="006B0FB7" w:rsidRPr="006E3C42" w:rsidRDefault="006B0FB7" w:rsidP="00695F71">
      <w:pPr>
        <w:numPr>
          <w:ilvl w:val="0"/>
          <w:numId w:val="8"/>
        </w:numPr>
        <w:spacing w:beforeLines="120" w:before="288" w:line="240" w:lineRule="auto"/>
        <w:rPr>
          <w:bCs/>
          <w:color w:val="auto"/>
          <w:szCs w:val="20"/>
        </w:rPr>
      </w:pPr>
      <w:r w:rsidRPr="006E3C42">
        <w:rPr>
          <w:b/>
          <w:bCs/>
          <w:color w:val="auto"/>
          <w:szCs w:val="20"/>
        </w:rPr>
        <w:t>Risco de Liquidez</w:t>
      </w:r>
      <w:r w:rsidRPr="006E3C42">
        <w:rPr>
          <w:bCs/>
          <w:color w:val="auto"/>
          <w:szCs w:val="20"/>
        </w:rPr>
        <w:t xml:space="preserve"> - surge da dificuldade em se conseguir encontrar compradores potenciais de um determinado ativo no momento e no preço desejado. Ocorre quando um ativo está com baixo volume de negócios e apresenta grandes diferenças entre o preço que o comprador está disposto a pagar (oferta de compra) e aquele que o vendedor gostaria de vender (oferta de venda). Quando é necessário vender algum ativo num mercado ilíquido, tende a ser difícil conseguir realizar a venda sem sacrificar o preço do ativo negociado.</w:t>
      </w:r>
    </w:p>
    <w:p w:rsidR="006B0FB7" w:rsidRPr="006E3C42" w:rsidRDefault="006B0FB7" w:rsidP="00226B7B">
      <w:pPr>
        <w:pStyle w:val="Ttulo2"/>
        <w:rPr>
          <w:color w:val="auto"/>
        </w:rPr>
      </w:pPr>
      <w:bookmarkStart w:id="91" w:name="_Toc435189693"/>
      <w:bookmarkStart w:id="92" w:name="_Toc435202751"/>
      <w:bookmarkStart w:id="93" w:name="_Toc490036557"/>
      <w:bookmarkStart w:id="94" w:name="_Toc521592800"/>
      <w:r w:rsidRPr="006E3C42">
        <w:rPr>
          <w:color w:val="auto"/>
        </w:rPr>
        <w:t>C</w:t>
      </w:r>
      <w:bookmarkEnd w:id="91"/>
      <w:r w:rsidRPr="006E3C42">
        <w:rPr>
          <w:color w:val="auto"/>
        </w:rPr>
        <w:t>ONTROLE DO RISCO DE MERCADO</w:t>
      </w:r>
      <w:bookmarkEnd w:id="92"/>
      <w:bookmarkEnd w:id="93"/>
      <w:bookmarkEnd w:id="94"/>
    </w:p>
    <w:p w:rsidR="006B0FB7" w:rsidRPr="006E3C42" w:rsidRDefault="006B0FB7" w:rsidP="00695F71">
      <w:pPr>
        <w:spacing w:beforeLines="120" w:before="288" w:line="240" w:lineRule="auto"/>
        <w:rPr>
          <w:bCs/>
          <w:color w:val="auto"/>
          <w:szCs w:val="20"/>
        </w:rPr>
      </w:pPr>
      <w:r w:rsidRPr="006E3C42">
        <w:rPr>
          <w:bCs/>
          <w:color w:val="auto"/>
          <w:szCs w:val="20"/>
        </w:rPr>
        <w:t xml:space="preserve">O RPPS adota o </w:t>
      </w:r>
      <w:proofErr w:type="spellStart"/>
      <w:r w:rsidRPr="006E3C42">
        <w:rPr>
          <w:b/>
          <w:bCs/>
          <w:color w:val="auto"/>
          <w:szCs w:val="20"/>
        </w:rPr>
        <w:t>VaR</w:t>
      </w:r>
      <w:proofErr w:type="spellEnd"/>
      <w:r w:rsidRPr="006E3C42">
        <w:rPr>
          <w:b/>
          <w:bCs/>
          <w:color w:val="auto"/>
          <w:szCs w:val="20"/>
        </w:rPr>
        <w:t xml:space="preserve"> - </w:t>
      </w:r>
      <w:proofErr w:type="spellStart"/>
      <w:r w:rsidRPr="006E3C42">
        <w:rPr>
          <w:b/>
          <w:bCs/>
          <w:color w:val="auto"/>
          <w:szCs w:val="20"/>
        </w:rPr>
        <w:t>Value</w:t>
      </w:r>
      <w:proofErr w:type="spellEnd"/>
      <w:r w:rsidRPr="006E3C42">
        <w:rPr>
          <w:b/>
          <w:bCs/>
          <w:color w:val="auto"/>
          <w:szCs w:val="20"/>
        </w:rPr>
        <w:t>-</w:t>
      </w:r>
      <w:proofErr w:type="spellStart"/>
      <w:r w:rsidRPr="006E3C42">
        <w:rPr>
          <w:b/>
          <w:bCs/>
          <w:color w:val="auto"/>
          <w:szCs w:val="20"/>
        </w:rPr>
        <w:t>at</w:t>
      </w:r>
      <w:proofErr w:type="spellEnd"/>
      <w:r w:rsidRPr="006E3C42">
        <w:rPr>
          <w:b/>
          <w:bCs/>
          <w:color w:val="auto"/>
          <w:szCs w:val="20"/>
        </w:rPr>
        <w:t>-Risk</w:t>
      </w:r>
      <w:r w:rsidRPr="006E3C42">
        <w:rPr>
          <w:bCs/>
          <w:color w:val="auto"/>
          <w:szCs w:val="20"/>
        </w:rPr>
        <w:t xml:space="preserve"> para controle do risco de mercado, utilizando os seguintes parâmetros para o cálculo do mesmo: </w:t>
      </w:r>
    </w:p>
    <w:p w:rsidR="006B0FB7" w:rsidRPr="006E3C42" w:rsidRDefault="006B0FB7" w:rsidP="006B0FB7">
      <w:pPr>
        <w:numPr>
          <w:ilvl w:val="0"/>
          <w:numId w:val="9"/>
        </w:numPr>
        <w:spacing w:beforeLines="120" w:before="288" w:after="0" w:line="240" w:lineRule="auto"/>
        <w:rPr>
          <w:bCs/>
          <w:color w:val="auto"/>
          <w:szCs w:val="20"/>
        </w:rPr>
      </w:pPr>
      <w:r w:rsidRPr="006E3C42">
        <w:rPr>
          <w:bCs/>
          <w:color w:val="auto"/>
          <w:szCs w:val="20"/>
        </w:rPr>
        <w:t>Modelo paramétrico;</w:t>
      </w:r>
    </w:p>
    <w:p w:rsidR="006B0FB7" w:rsidRPr="006E3C42" w:rsidRDefault="006B0FB7" w:rsidP="006B0FB7">
      <w:pPr>
        <w:numPr>
          <w:ilvl w:val="0"/>
          <w:numId w:val="9"/>
        </w:numPr>
        <w:spacing w:beforeLines="120" w:before="288" w:after="0" w:line="240" w:lineRule="auto"/>
        <w:rPr>
          <w:bCs/>
          <w:color w:val="auto"/>
          <w:szCs w:val="20"/>
        </w:rPr>
      </w:pPr>
      <w:r w:rsidRPr="006E3C42">
        <w:rPr>
          <w:bCs/>
          <w:color w:val="auto"/>
          <w:szCs w:val="20"/>
        </w:rPr>
        <w:t>Intervalo de confiança de 95% (noventa e cinco por cento);</w:t>
      </w:r>
    </w:p>
    <w:p w:rsidR="006B0FB7" w:rsidRPr="006E3C42" w:rsidRDefault="006B0FB7" w:rsidP="006B0FB7">
      <w:pPr>
        <w:numPr>
          <w:ilvl w:val="0"/>
          <w:numId w:val="9"/>
        </w:numPr>
        <w:spacing w:beforeLines="120" w:before="288" w:after="0" w:line="240" w:lineRule="auto"/>
        <w:rPr>
          <w:bCs/>
          <w:color w:val="auto"/>
          <w:szCs w:val="20"/>
        </w:rPr>
      </w:pPr>
      <w:r w:rsidRPr="006E3C42">
        <w:rPr>
          <w:bCs/>
          <w:color w:val="auto"/>
          <w:szCs w:val="20"/>
        </w:rPr>
        <w:t>Horizonte temporal de 21 dias úteis.</w:t>
      </w:r>
    </w:p>
    <w:p w:rsidR="006B0FB7" w:rsidRPr="006E3C42" w:rsidRDefault="006B0FB7" w:rsidP="006B0FB7">
      <w:pPr>
        <w:spacing w:beforeLines="120" w:before="288" w:after="0" w:line="240" w:lineRule="auto"/>
        <w:rPr>
          <w:bCs/>
          <w:color w:val="auto"/>
          <w:szCs w:val="20"/>
        </w:rPr>
      </w:pPr>
      <w:r w:rsidRPr="006E3C42">
        <w:rPr>
          <w:bCs/>
          <w:color w:val="auto"/>
          <w:szCs w:val="20"/>
        </w:rPr>
        <w:t>Como parâmetro de monitoramento para controle do risco de mercado dos ativos que compõe a carteira, os membros do Comitê de Investimentos deverão observar as referências abaixo estabelecidas e realizar reavaliação destes ativos sempre que as referências pré-estabelecidas forem ultrapassadas.</w:t>
      </w:r>
    </w:p>
    <w:p w:rsidR="006B0FB7" w:rsidRPr="006E3C42" w:rsidRDefault="000E1CEA" w:rsidP="006B0FB7">
      <w:pPr>
        <w:numPr>
          <w:ilvl w:val="0"/>
          <w:numId w:val="9"/>
        </w:numPr>
        <w:spacing w:beforeLines="120" w:before="288" w:after="0" w:line="240" w:lineRule="auto"/>
        <w:rPr>
          <w:bCs/>
          <w:color w:val="auto"/>
          <w:szCs w:val="20"/>
        </w:rPr>
      </w:pPr>
      <w:r w:rsidRPr="006E3C42">
        <w:rPr>
          <w:bCs/>
          <w:color w:val="auto"/>
          <w:szCs w:val="20"/>
        </w:rPr>
        <w:t xml:space="preserve">Segmento de Renda Fixa: </w:t>
      </w:r>
      <w:r w:rsidR="00E55318" w:rsidRPr="006E3C42">
        <w:rPr>
          <w:bCs/>
          <w:color w:val="auto"/>
          <w:szCs w:val="20"/>
        </w:rPr>
        <w:t>3,56</w:t>
      </w:r>
      <w:r w:rsidR="006B0FB7" w:rsidRPr="006E3C42">
        <w:rPr>
          <w:bCs/>
          <w:color w:val="auto"/>
          <w:szCs w:val="20"/>
        </w:rPr>
        <w:t>% (</w:t>
      </w:r>
      <w:r w:rsidR="00E55318" w:rsidRPr="006E3C42">
        <w:rPr>
          <w:bCs/>
          <w:color w:val="auto"/>
          <w:szCs w:val="20"/>
        </w:rPr>
        <w:t>três inteiros e cinquenta e seis por cento</w:t>
      </w:r>
      <w:r w:rsidR="006B0FB7" w:rsidRPr="006E3C42">
        <w:rPr>
          <w:bCs/>
          <w:color w:val="auto"/>
          <w:szCs w:val="20"/>
        </w:rPr>
        <w:t>) do valor alocado neste segmento.</w:t>
      </w:r>
    </w:p>
    <w:p w:rsidR="006B0FB7" w:rsidRPr="006E3C42" w:rsidRDefault="006B0FB7" w:rsidP="006B0FB7">
      <w:pPr>
        <w:numPr>
          <w:ilvl w:val="0"/>
          <w:numId w:val="9"/>
        </w:numPr>
        <w:spacing w:beforeLines="120" w:before="288" w:after="0" w:line="240" w:lineRule="auto"/>
        <w:rPr>
          <w:bCs/>
          <w:color w:val="auto"/>
          <w:szCs w:val="20"/>
        </w:rPr>
      </w:pPr>
      <w:r w:rsidRPr="006E3C42">
        <w:rPr>
          <w:bCs/>
          <w:color w:val="auto"/>
          <w:szCs w:val="20"/>
        </w:rPr>
        <w:t>Segment</w:t>
      </w:r>
      <w:r w:rsidR="000E1CEA" w:rsidRPr="006E3C42">
        <w:rPr>
          <w:bCs/>
          <w:color w:val="auto"/>
          <w:szCs w:val="20"/>
        </w:rPr>
        <w:t xml:space="preserve">o de Renda Variável: </w:t>
      </w:r>
      <w:r w:rsidR="00E55318" w:rsidRPr="006E3C42">
        <w:rPr>
          <w:bCs/>
          <w:color w:val="auto"/>
          <w:szCs w:val="20"/>
        </w:rPr>
        <w:t>9,63</w:t>
      </w:r>
      <w:r w:rsidR="000E1CEA" w:rsidRPr="006E3C42">
        <w:rPr>
          <w:bCs/>
          <w:color w:val="auto"/>
          <w:szCs w:val="20"/>
        </w:rPr>
        <w:t>% (</w:t>
      </w:r>
      <w:r w:rsidR="00E55318" w:rsidRPr="006E3C42">
        <w:rPr>
          <w:bCs/>
          <w:color w:val="auto"/>
          <w:szCs w:val="20"/>
        </w:rPr>
        <w:t>nove inteiros e sessenta e três por cento</w:t>
      </w:r>
      <w:r w:rsidRPr="006E3C42">
        <w:rPr>
          <w:bCs/>
          <w:color w:val="auto"/>
          <w:szCs w:val="20"/>
        </w:rPr>
        <w:t>) do valor alocado neste segmento.</w:t>
      </w:r>
    </w:p>
    <w:p w:rsidR="006B0FB7" w:rsidRPr="006E3C42" w:rsidRDefault="006B0FB7" w:rsidP="00695F71">
      <w:pPr>
        <w:spacing w:beforeLines="120" w:before="288" w:line="240" w:lineRule="auto"/>
        <w:rPr>
          <w:bCs/>
          <w:color w:val="auto"/>
          <w:szCs w:val="20"/>
        </w:rPr>
      </w:pPr>
      <w:r w:rsidRPr="006E3C42">
        <w:rPr>
          <w:bCs/>
          <w:color w:val="auto"/>
          <w:szCs w:val="20"/>
        </w:rPr>
        <w:t xml:space="preserve">Como instrumento adicional de controle, o RPPS monitora a rentabilidade do fundo em janelas temporais (mês, ano, três meses, seis meses, doze meses e vinte e quatro meses), verificando o alinhamento com o “benchmark” </w:t>
      </w:r>
      <w:r w:rsidRPr="006E3C42">
        <w:rPr>
          <w:bCs/>
          <w:color w:val="auto"/>
          <w:szCs w:val="20"/>
        </w:rPr>
        <w:lastRenderedPageBreak/>
        <w:t>estabelecido na política de investimentos do fundo. Desvios significativos deverão ser avaliados pelos membros do Comitê de Investimentos do RPPS, que decidirá pela manutenção, ou não, do investimento.</w:t>
      </w:r>
    </w:p>
    <w:p w:rsidR="006B0FB7" w:rsidRPr="006E3C42" w:rsidRDefault="006B0FB7" w:rsidP="00226B7B">
      <w:pPr>
        <w:pStyle w:val="Ttulo2"/>
        <w:rPr>
          <w:color w:val="auto"/>
        </w:rPr>
      </w:pPr>
      <w:bookmarkStart w:id="95" w:name="_Toc435202752"/>
      <w:bookmarkStart w:id="96" w:name="_Toc490036558"/>
      <w:bookmarkStart w:id="97" w:name="_Toc521592801"/>
      <w:r w:rsidRPr="006E3C42">
        <w:rPr>
          <w:color w:val="auto"/>
        </w:rPr>
        <w:t>CONTROLE DO RISCO DE CRÉDITO</w:t>
      </w:r>
      <w:bookmarkEnd w:id="95"/>
      <w:bookmarkEnd w:id="96"/>
      <w:bookmarkEnd w:id="97"/>
    </w:p>
    <w:p w:rsidR="009E30C1" w:rsidRPr="006E3C42" w:rsidRDefault="006B0FB7" w:rsidP="00695F71">
      <w:pPr>
        <w:spacing w:beforeLines="120" w:before="288" w:line="240" w:lineRule="auto"/>
        <w:rPr>
          <w:bCs/>
          <w:color w:val="auto"/>
          <w:szCs w:val="20"/>
        </w:rPr>
      </w:pPr>
      <w:r w:rsidRPr="006E3C42">
        <w:rPr>
          <w:bCs/>
          <w:color w:val="auto"/>
          <w:szCs w:val="20"/>
        </w:rPr>
        <w:t>Na hipótese de aplicação de re</w:t>
      </w:r>
      <w:r w:rsidR="009E30C1" w:rsidRPr="006E3C42">
        <w:rPr>
          <w:bCs/>
          <w:color w:val="auto"/>
          <w:szCs w:val="20"/>
        </w:rPr>
        <w:t>cursos financeiros do RPPS, em fundos de investimento</w:t>
      </w:r>
      <w:r w:rsidRPr="006E3C42">
        <w:rPr>
          <w:bCs/>
          <w:color w:val="auto"/>
          <w:szCs w:val="20"/>
        </w:rPr>
        <w:t xml:space="preserve"> </w:t>
      </w:r>
      <w:r w:rsidR="009E30C1" w:rsidRPr="006E3C42">
        <w:rPr>
          <w:bCs/>
          <w:color w:val="auto"/>
          <w:szCs w:val="20"/>
        </w:rPr>
        <w:t xml:space="preserve">que possuem em sua carteira de investimentos ativos de crédito, subordinam-se que estes </w:t>
      </w:r>
      <w:r w:rsidR="003F6107" w:rsidRPr="006E3C42">
        <w:rPr>
          <w:bCs/>
          <w:color w:val="auto"/>
          <w:szCs w:val="20"/>
        </w:rPr>
        <w:t xml:space="preserve">sejam emitidas por companhias abertas devidamente operacionais e registrada; e que </w:t>
      </w:r>
      <w:r w:rsidR="009E30C1" w:rsidRPr="006E3C42">
        <w:rPr>
          <w:bCs/>
          <w:color w:val="auto"/>
          <w:szCs w:val="20"/>
        </w:rPr>
        <w:t xml:space="preserve">sejam de baixo risco em classificação efetuada por </w:t>
      </w:r>
      <w:r w:rsidR="003F6107" w:rsidRPr="006E3C42">
        <w:rPr>
          <w:bCs/>
          <w:color w:val="auto"/>
          <w:szCs w:val="20"/>
        </w:rPr>
        <w:t>agência classificadora de risco, o que estiverem de acordo com a tabela abaixo:</w:t>
      </w:r>
    </w:p>
    <w:p w:rsidR="008815C6" w:rsidRPr="006E3C42" w:rsidRDefault="008815C6" w:rsidP="008815C6">
      <w:pPr>
        <w:spacing w:beforeLines="120" w:before="288" w:line="240" w:lineRule="auto"/>
        <w:jc w:val="center"/>
        <w:rPr>
          <w:bCs/>
          <w:color w:val="auto"/>
          <w:szCs w:val="20"/>
        </w:rPr>
      </w:pPr>
      <w:r w:rsidRPr="006E3C42">
        <w:rPr>
          <w:b/>
          <w:bCs/>
          <w:noProof/>
          <w:color w:val="auto"/>
          <w:szCs w:val="20"/>
          <w:lang w:eastAsia="pt-BR"/>
        </w:rPr>
        <w:drawing>
          <wp:inline distT="0" distB="0" distL="0" distR="0" wp14:anchorId="2EADF953" wp14:editId="6342BAA5">
            <wp:extent cx="3600000" cy="926888"/>
            <wp:effectExtent l="0" t="0" r="635"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926888"/>
                    </a:xfrm>
                    <a:prstGeom prst="rect">
                      <a:avLst/>
                    </a:prstGeom>
                    <a:noFill/>
                    <a:ln>
                      <a:noFill/>
                    </a:ln>
                  </pic:spPr>
                </pic:pic>
              </a:graphicData>
            </a:graphic>
          </wp:inline>
        </w:drawing>
      </w:r>
    </w:p>
    <w:p w:rsidR="006B0FB7" w:rsidRPr="006E3C42" w:rsidRDefault="006B0FB7" w:rsidP="00695F71">
      <w:pPr>
        <w:spacing w:beforeLines="120" w:before="288" w:line="240" w:lineRule="auto"/>
        <w:rPr>
          <w:bCs/>
          <w:color w:val="auto"/>
          <w:szCs w:val="20"/>
        </w:rPr>
      </w:pPr>
      <w:r w:rsidRPr="006E3C42">
        <w:rPr>
          <w:bCs/>
          <w:color w:val="auto"/>
          <w:szCs w:val="20"/>
        </w:rPr>
        <w:t xml:space="preserve">As agências classificadoras de risco supracitadas estão devidamente </w:t>
      </w:r>
      <w:r w:rsidR="009E30C1" w:rsidRPr="006E3C42">
        <w:rPr>
          <w:bCs/>
          <w:color w:val="auto"/>
          <w:szCs w:val="20"/>
        </w:rPr>
        <w:t>registradas</w:t>
      </w:r>
      <w:r w:rsidR="00527DA1" w:rsidRPr="006E3C42">
        <w:rPr>
          <w:bCs/>
          <w:color w:val="auto"/>
          <w:szCs w:val="20"/>
        </w:rPr>
        <w:t xml:space="preserve"> na CVM e</w:t>
      </w:r>
      <w:r w:rsidR="009E30C1" w:rsidRPr="006E3C42">
        <w:rPr>
          <w:bCs/>
          <w:color w:val="auto"/>
          <w:szCs w:val="20"/>
        </w:rPr>
        <w:t xml:space="preserve"> </w:t>
      </w:r>
      <w:r w:rsidRPr="006E3C42">
        <w:rPr>
          <w:bCs/>
          <w:color w:val="auto"/>
          <w:szCs w:val="20"/>
        </w:rPr>
        <w:t>autorizadas a operar no Brasil e utilizam o sistema de “rating” para classificar o nível de risco de uma instituição, fundo de investimentos e dos ativos integrantes de sua carteira.</w:t>
      </w:r>
    </w:p>
    <w:p w:rsidR="006B0FB7" w:rsidRPr="006E3C42" w:rsidRDefault="006B0FB7" w:rsidP="00226B7B">
      <w:pPr>
        <w:pStyle w:val="Ttulo2"/>
        <w:rPr>
          <w:color w:val="auto"/>
        </w:rPr>
      </w:pPr>
      <w:bookmarkStart w:id="98" w:name="_Toc435189695"/>
      <w:bookmarkStart w:id="99" w:name="_Toc435202753"/>
      <w:bookmarkStart w:id="100" w:name="_Toc490036559"/>
      <w:bookmarkStart w:id="101" w:name="_Toc521592802"/>
      <w:r w:rsidRPr="006E3C42">
        <w:rPr>
          <w:color w:val="auto"/>
        </w:rPr>
        <w:t xml:space="preserve">CONTROLE DO RISCO DE </w:t>
      </w:r>
      <w:bookmarkEnd w:id="98"/>
      <w:r w:rsidRPr="006E3C42">
        <w:rPr>
          <w:color w:val="auto"/>
        </w:rPr>
        <w:t>LIQUIDEZ</w:t>
      </w:r>
      <w:bookmarkEnd w:id="99"/>
      <w:bookmarkEnd w:id="100"/>
      <w:bookmarkEnd w:id="101"/>
      <w:r w:rsidRPr="006E3C42">
        <w:rPr>
          <w:color w:val="auto"/>
        </w:rPr>
        <w:t xml:space="preserve"> </w:t>
      </w:r>
    </w:p>
    <w:p w:rsidR="008815C6" w:rsidRPr="006E3C42" w:rsidRDefault="006B0FB7" w:rsidP="00AC33CD">
      <w:pPr>
        <w:spacing w:beforeLines="120" w:before="288" w:after="0" w:line="240" w:lineRule="auto"/>
        <w:rPr>
          <w:bCs/>
          <w:color w:val="auto"/>
          <w:szCs w:val="20"/>
        </w:rPr>
      </w:pPr>
      <w:r w:rsidRPr="006E3C42">
        <w:rPr>
          <w:bCs/>
          <w:color w:val="auto"/>
          <w:szCs w:val="20"/>
        </w:rPr>
        <w:t>Nas aplicações em fundos de investimentos constituídos sob a forma de condomínio fechado, e nas aplicações cuja soma do prazo de carência (se houver) acrescido ao prazo de conversão de cotas ultrapassarem em 365 dias, a aprovação do investimento deverá ser precedida de uma análise que evidencie a capacidade do RPPS em arcar com o fluxo de despesas necessárias ao cumprimento de suas obrigações atuariais, até a data da disponibilização dos recursos investidos.</w:t>
      </w:r>
    </w:p>
    <w:p w:rsidR="006B0FB7" w:rsidRPr="006E3C42" w:rsidRDefault="006B0FB7" w:rsidP="00695F71">
      <w:pPr>
        <w:pStyle w:val="Ttulo1"/>
        <w:rPr>
          <w:color w:val="auto"/>
        </w:rPr>
      </w:pPr>
      <w:bookmarkStart w:id="102" w:name="_Toc435189696"/>
      <w:bookmarkStart w:id="103" w:name="_Toc435202754"/>
      <w:bookmarkStart w:id="104" w:name="_Toc490036560"/>
      <w:bookmarkStart w:id="105" w:name="_Toc521592803"/>
      <w:r w:rsidRPr="006E3C42">
        <w:rPr>
          <w:color w:val="auto"/>
        </w:rPr>
        <w:t>P</w:t>
      </w:r>
      <w:bookmarkEnd w:id="102"/>
      <w:r w:rsidRPr="006E3C42">
        <w:rPr>
          <w:color w:val="auto"/>
        </w:rPr>
        <w:t>OLÍTICA DE TRANSPARÊNCIA</w:t>
      </w:r>
      <w:bookmarkEnd w:id="103"/>
      <w:bookmarkEnd w:id="104"/>
      <w:bookmarkEnd w:id="105"/>
    </w:p>
    <w:p w:rsidR="008815C6" w:rsidRPr="006E3C42" w:rsidRDefault="006B0FB7" w:rsidP="00AC33CD">
      <w:pPr>
        <w:spacing w:beforeLines="120" w:before="288" w:after="0" w:line="240" w:lineRule="auto"/>
        <w:rPr>
          <w:bCs/>
          <w:color w:val="auto"/>
          <w:szCs w:val="20"/>
        </w:rPr>
      </w:pPr>
      <w:r w:rsidRPr="006E3C42">
        <w:rPr>
          <w:bCs/>
          <w:color w:val="auto"/>
          <w:szCs w:val="20"/>
        </w:rPr>
        <w:t>As informações contidas na Política de Investimentos e em suas revisões deverão ser disponibilizadas aos interessados, no prazo de trinta dias, contados de sua aprovação, observados os critérios estabelecidos pelo Ministério da Fazenda, Secretária de Previdência Social. À vista da exigência contida no art. 4º, incisos I, II, III</w:t>
      </w:r>
      <w:r w:rsidR="00E51512" w:rsidRPr="006E3C42">
        <w:rPr>
          <w:bCs/>
          <w:color w:val="auto"/>
          <w:szCs w:val="20"/>
        </w:rPr>
        <w:t xml:space="preserve">, </w:t>
      </w:r>
      <w:r w:rsidRPr="006E3C42">
        <w:rPr>
          <w:bCs/>
          <w:color w:val="auto"/>
          <w:szCs w:val="20"/>
        </w:rPr>
        <w:t xml:space="preserve">IV e </w:t>
      </w:r>
      <w:r w:rsidR="00E51512" w:rsidRPr="006E3C42">
        <w:rPr>
          <w:bCs/>
          <w:color w:val="auto"/>
          <w:szCs w:val="20"/>
        </w:rPr>
        <w:t>V</w:t>
      </w:r>
      <w:r w:rsidRPr="006E3C42">
        <w:rPr>
          <w:bCs/>
          <w:color w:val="auto"/>
          <w:szCs w:val="20"/>
        </w:rPr>
        <w:t>, parágrafo primeiro e segundo e ainda, art. 5º da Resolução CMN nº 3.922/2010, a Política de Investimentos deverá ser disponibilizada no site do RPPS, Diário Oficial do Município ou em local de fácil acesso e visualização, sem prejuízo de outros canais oficiais de comunicação.</w:t>
      </w:r>
    </w:p>
    <w:p w:rsidR="006B0FB7" w:rsidRPr="006E3C42" w:rsidRDefault="006B0FB7" w:rsidP="00695F71">
      <w:pPr>
        <w:pStyle w:val="Ttulo1"/>
        <w:rPr>
          <w:color w:val="auto"/>
        </w:rPr>
      </w:pPr>
      <w:bookmarkStart w:id="106" w:name="_Toc435189697"/>
      <w:bookmarkStart w:id="107" w:name="_Toc435202755"/>
      <w:bookmarkStart w:id="108" w:name="_Toc490036561"/>
      <w:bookmarkStart w:id="109" w:name="_Toc521592804"/>
      <w:r w:rsidRPr="006E3C42">
        <w:rPr>
          <w:color w:val="auto"/>
        </w:rPr>
        <w:t>CRITÉRIOS PARA CREDENCIAMENTO</w:t>
      </w:r>
      <w:bookmarkEnd w:id="106"/>
      <w:bookmarkEnd w:id="107"/>
      <w:bookmarkEnd w:id="108"/>
      <w:bookmarkEnd w:id="109"/>
    </w:p>
    <w:p w:rsidR="006B0FB7" w:rsidRPr="006E3C42" w:rsidRDefault="006B0FB7" w:rsidP="006B0FB7">
      <w:pPr>
        <w:spacing w:beforeLines="120" w:before="288" w:after="0" w:line="240" w:lineRule="auto"/>
        <w:rPr>
          <w:bCs/>
          <w:color w:val="auto"/>
          <w:szCs w:val="20"/>
        </w:rPr>
      </w:pPr>
      <w:r w:rsidRPr="006E3C42">
        <w:rPr>
          <w:bCs/>
          <w:color w:val="auto"/>
          <w:szCs w:val="20"/>
        </w:rPr>
        <w:t>Seguindo a Portaria MPS nº 519, de 24 de agosto de 2011, na gestão própria, antes da realização de qualquer operação, o RPPS, na figura de seu Comitê de Investimentos, deverá assegurar que as instituições financeiras escolhidas para receber as aplicações tenham sido objeto de prévio credenciamento.</w:t>
      </w:r>
    </w:p>
    <w:p w:rsidR="006B0FB7" w:rsidRPr="006E3C42" w:rsidRDefault="006B0FB7" w:rsidP="006B0FB7">
      <w:pPr>
        <w:spacing w:beforeLines="120" w:before="288" w:after="0" w:line="240" w:lineRule="auto"/>
        <w:rPr>
          <w:bCs/>
          <w:color w:val="auto"/>
          <w:szCs w:val="20"/>
        </w:rPr>
      </w:pPr>
      <w:r w:rsidRPr="006E3C42">
        <w:rPr>
          <w:bCs/>
          <w:color w:val="auto"/>
          <w:szCs w:val="20"/>
        </w:rPr>
        <w:t>Para tal credenciamento, deverão ser observados, e formalmente atestados pelo representante legal do RPPS e submetido à aprovação do Comitê de Investimentos, no mínimo, quesitos como:</w:t>
      </w:r>
    </w:p>
    <w:p w:rsidR="006B0FB7" w:rsidRPr="006E3C42" w:rsidRDefault="006B0FB7" w:rsidP="006B0FB7">
      <w:pPr>
        <w:numPr>
          <w:ilvl w:val="0"/>
          <w:numId w:val="15"/>
        </w:numPr>
        <w:spacing w:beforeLines="120" w:before="288" w:after="0" w:line="240" w:lineRule="auto"/>
        <w:rPr>
          <w:bCs/>
          <w:color w:val="auto"/>
          <w:szCs w:val="20"/>
        </w:rPr>
      </w:pPr>
      <w:r w:rsidRPr="006E3C42">
        <w:rPr>
          <w:bCs/>
          <w:color w:val="auto"/>
          <w:szCs w:val="20"/>
        </w:rPr>
        <w:t>atos de registro ou autorização para funcionamento expedido pelo Banco Central do Brasil ou Comissão de Valores Mobiliários ou órgão competente;</w:t>
      </w:r>
    </w:p>
    <w:p w:rsidR="006B0FB7" w:rsidRPr="006E3C42" w:rsidRDefault="006B0FB7" w:rsidP="006B0FB7">
      <w:pPr>
        <w:numPr>
          <w:ilvl w:val="0"/>
          <w:numId w:val="15"/>
        </w:numPr>
        <w:spacing w:beforeLines="120" w:before="288" w:after="0" w:line="240" w:lineRule="auto"/>
        <w:rPr>
          <w:bCs/>
          <w:color w:val="auto"/>
          <w:szCs w:val="20"/>
        </w:rPr>
      </w:pPr>
      <w:r w:rsidRPr="006E3C42">
        <w:rPr>
          <w:bCs/>
          <w:color w:val="auto"/>
          <w:szCs w:val="20"/>
        </w:rPr>
        <w:t>observação de elevado padrão ético de conduta nas operações realizadas no mercado financeiro e ausência de restrições que, a critério do Banco Central do Brasil, da Comissão de Valores Mobiliários ou de outros órgãos competentes desaconselhem um relacionamento seguro;</w:t>
      </w:r>
    </w:p>
    <w:p w:rsidR="006B0FB7" w:rsidRPr="006E3C42" w:rsidRDefault="006B0FB7" w:rsidP="006B0FB7">
      <w:pPr>
        <w:numPr>
          <w:ilvl w:val="0"/>
          <w:numId w:val="15"/>
        </w:numPr>
        <w:spacing w:beforeLines="120" w:before="288" w:after="0" w:line="240" w:lineRule="auto"/>
        <w:rPr>
          <w:bCs/>
          <w:color w:val="auto"/>
          <w:szCs w:val="20"/>
        </w:rPr>
      </w:pPr>
      <w:r w:rsidRPr="006E3C42">
        <w:rPr>
          <w:bCs/>
          <w:color w:val="auto"/>
          <w:szCs w:val="20"/>
        </w:rPr>
        <w:t>regularidade fiscal e previdenciária.</w:t>
      </w:r>
    </w:p>
    <w:p w:rsidR="006B0FB7" w:rsidRPr="006E3C42" w:rsidRDefault="006B0FB7" w:rsidP="00695F71">
      <w:pPr>
        <w:spacing w:beforeLines="120" w:before="288" w:line="240" w:lineRule="auto"/>
        <w:rPr>
          <w:bCs/>
          <w:color w:val="auto"/>
          <w:szCs w:val="20"/>
        </w:rPr>
      </w:pPr>
      <w:r w:rsidRPr="006E3C42">
        <w:rPr>
          <w:bCs/>
          <w:color w:val="auto"/>
          <w:szCs w:val="20"/>
        </w:rPr>
        <w:lastRenderedPageBreak/>
        <w:t>Quando se tratar de fundos de investimento, o credenciamento previsto recairá sobre a figura do gestor e do administrador do fundo.</w:t>
      </w:r>
    </w:p>
    <w:p w:rsidR="006B0FB7" w:rsidRPr="006E3C42" w:rsidRDefault="006B0FB7" w:rsidP="00226B7B">
      <w:pPr>
        <w:pStyle w:val="Ttulo2"/>
        <w:rPr>
          <w:color w:val="auto"/>
        </w:rPr>
      </w:pPr>
      <w:bookmarkStart w:id="110" w:name="_Toc435202756"/>
      <w:bookmarkStart w:id="111" w:name="_Toc490036562"/>
      <w:bookmarkStart w:id="112" w:name="_Toc521592805"/>
      <w:r w:rsidRPr="006E3C42">
        <w:rPr>
          <w:color w:val="auto"/>
        </w:rPr>
        <w:t>PROCESSO DE SELEÇÃO E AVALIAÇÃO DE GESTORES/ADMINISTRADORES</w:t>
      </w:r>
      <w:bookmarkEnd w:id="110"/>
      <w:bookmarkEnd w:id="111"/>
      <w:bookmarkEnd w:id="112"/>
    </w:p>
    <w:p w:rsidR="006B0FB7" w:rsidRPr="006E3C42" w:rsidRDefault="006B0FB7" w:rsidP="00695F71">
      <w:pPr>
        <w:spacing w:beforeLines="120" w:before="288" w:line="240" w:lineRule="auto"/>
        <w:rPr>
          <w:bCs/>
          <w:color w:val="auto"/>
          <w:szCs w:val="20"/>
        </w:rPr>
      </w:pPr>
      <w:r w:rsidRPr="006E3C42">
        <w:rPr>
          <w:bCs/>
          <w:color w:val="auto"/>
          <w:szCs w:val="20"/>
        </w:rPr>
        <w:t>Nos processos de seleção dos Gestores/Administradores, devem ser considerados os aspectos qualitativos e quantitativos, tendo como parâmetro de análise no mínimo:</w:t>
      </w:r>
    </w:p>
    <w:p w:rsidR="006B0FB7" w:rsidRPr="006E3C42" w:rsidRDefault="006B0FB7" w:rsidP="006B0FB7">
      <w:pPr>
        <w:numPr>
          <w:ilvl w:val="0"/>
          <w:numId w:val="14"/>
        </w:numPr>
        <w:spacing w:beforeLines="120" w:before="288" w:after="0" w:line="240" w:lineRule="auto"/>
        <w:rPr>
          <w:bCs/>
          <w:color w:val="auto"/>
          <w:szCs w:val="20"/>
        </w:rPr>
      </w:pPr>
      <w:r w:rsidRPr="006E3C42">
        <w:rPr>
          <w:bCs/>
          <w:color w:val="auto"/>
          <w:szCs w:val="20"/>
        </w:rPr>
        <w:t>Tradição e Credibilidade da Instituição – envolvendo volume de recursos administrados e geridos, no Brasil e no exterior, capacitação profissional dos agentes envolvidos na administração e gestão de investimentos do fundo, que incluem formação acadêmica continuada, certificações, reconhecimento público etc., tempo de atuação e maturidade desses agentes na atividade, regularidade da manutenção da equipe, com base na rotatividade dos profissionais e na tempestividade na reposição, além de outras informações relacionadas com a administração e gestão de investimentos que permitam identificar a cultura fiduciária da instituição e seu compromisso com princípios de responsabilidade nos investimentos e de governança;</w:t>
      </w:r>
    </w:p>
    <w:p w:rsidR="006B0FB7" w:rsidRPr="006E3C42" w:rsidRDefault="006B0FB7" w:rsidP="006B0FB7">
      <w:pPr>
        <w:numPr>
          <w:ilvl w:val="0"/>
          <w:numId w:val="14"/>
        </w:numPr>
        <w:spacing w:beforeLines="120" w:before="288" w:after="0" w:line="240" w:lineRule="auto"/>
        <w:rPr>
          <w:bCs/>
          <w:color w:val="auto"/>
          <w:szCs w:val="20"/>
        </w:rPr>
      </w:pPr>
      <w:r w:rsidRPr="006E3C42">
        <w:rPr>
          <w:bCs/>
          <w:color w:val="auto"/>
          <w:szCs w:val="20"/>
        </w:rPr>
        <w:t>Gestão do Risco – envolvendo qualidade e consistência dos processos de administração e gestão, em especial aos riscos de crédito – quando aplicável – liquidez, mercado, legal e operacional, efetividade dos controles internos, envolvendo, ainda, o uso de ferramentas, softwares e consultorias especializadas, regularidade na prestação de informações, atuação da área de “</w:t>
      </w:r>
      <w:proofErr w:type="spellStart"/>
      <w:r w:rsidRPr="006E3C42">
        <w:rPr>
          <w:bCs/>
          <w:i/>
          <w:color w:val="auto"/>
          <w:szCs w:val="20"/>
        </w:rPr>
        <w:t>compliance</w:t>
      </w:r>
      <w:proofErr w:type="spellEnd"/>
      <w:r w:rsidRPr="006E3C42">
        <w:rPr>
          <w:bCs/>
          <w:color w:val="auto"/>
          <w:szCs w:val="20"/>
        </w:rPr>
        <w:t>”, capacitação profissional dos agentes envolvidos na administração e gestão de risco do fundo, que incluem formação acadêmica continuada, certificações, reconhecimento público etc., tempo de atuação e maturidade desses agentes na atividade, regularidade da manutenção da equipe de risco, com base na rotatividade dos profissionais e na tempestividade na reposição, além de outras informações relacionadas com a administração e gestão do risco.</w:t>
      </w:r>
    </w:p>
    <w:p w:rsidR="006B0FB7" w:rsidRPr="006E3C42" w:rsidRDefault="006B0FB7" w:rsidP="006B0FB7">
      <w:pPr>
        <w:numPr>
          <w:ilvl w:val="0"/>
          <w:numId w:val="14"/>
        </w:numPr>
        <w:spacing w:beforeLines="120" w:before="288" w:after="0" w:line="240" w:lineRule="auto"/>
        <w:rPr>
          <w:bCs/>
          <w:color w:val="auto"/>
          <w:szCs w:val="20"/>
        </w:rPr>
      </w:pPr>
      <w:r w:rsidRPr="006E3C42">
        <w:rPr>
          <w:bCs/>
          <w:color w:val="auto"/>
          <w:szCs w:val="20"/>
        </w:rPr>
        <w:t>Avaliação de aderência dos Fundos aos indicadores de desempenho (Benchmark) e riscos – envolvendo a correlação da rentabilidade com seus objetivos e a consistência na entrega de resultados no período mínimo de dois anos anteriores ao credenciamento;</w:t>
      </w:r>
    </w:p>
    <w:p w:rsidR="004D1769" w:rsidRPr="006E3C42" w:rsidRDefault="004D1769" w:rsidP="004D1769">
      <w:pPr>
        <w:spacing w:beforeLines="120" w:before="288" w:after="0" w:line="240" w:lineRule="auto"/>
        <w:rPr>
          <w:bCs/>
          <w:color w:val="auto"/>
          <w:szCs w:val="20"/>
        </w:rPr>
      </w:pPr>
      <w:r w:rsidRPr="006E3C42">
        <w:rPr>
          <w:bCs/>
          <w:color w:val="auto"/>
          <w:szCs w:val="20"/>
        </w:rPr>
        <w:t>Entende-se que os fundos possuem uma gestão discricionária, na qual o gestor decide pelos investimentos que vai realizar, desde que respeitando o regulamento do fundo e as normas aplicáveis aos RPPS.</w:t>
      </w:r>
    </w:p>
    <w:p w:rsidR="004D1769" w:rsidRPr="006E3C42" w:rsidRDefault="004D1769" w:rsidP="004D1769">
      <w:pPr>
        <w:spacing w:beforeLines="120" w:before="288" w:after="0" w:line="240" w:lineRule="auto"/>
        <w:rPr>
          <w:bCs/>
          <w:color w:val="auto"/>
          <w:szCs w:val="20"/>
        </w:rPr>
      </w:pPr>
      <w:r w:rsidRPr="006E3C42">
        <w:rPr>
          <w:bCs/>
          <w:color w:val="auto"/>
          <w:szCs w:val="20"/>
        </w:rPr>
        <w:t>O Credenciamento se dará, por meio eletrônico, no âmbito de controle, inclusive no gerenciamento dos documentos e Certidões requisitadas, através do sistema eletrônico utilizado pelo RPPS.</w:t>
      </w:r>
    </w:p>
    <w:p w:rsidR="004D1769" w:rsidRPr="006E3C42" w:rsidRDefault="004D1769" w:rsidP="004D1769">
      <w:pPr>
        <w:spacing w:beforeLines="120" w:before="288" w:after="0" w:line="240" w:lineRule="auto"/>
        <w:rPr>
          <w:bCs/>
          <w:color w:val="auto"/>
          <w:szCs w:val="20"/>
        </w:rPr>
      </w:pPr>
      <w:r w:rsidRPr="006E3C42">
        <w:rPr>
          <w:bCs/>
          <w:color w:val="auto"/>
          <w:szCs w:val="20"/>
        </w:rPr>
        <w:t xml:space="preserve">Fica definido também, como critério de documento para credenciamento, o relatório </w:t>
      </w:r>
      <w:proofErr w:type="spellStart"/>
      <w:r w:rsidRPr="006E3C42">
        <w:rPr>
          <w:bCs/>
          <w:i/>
          <w:color w:val="auto"/>
          <w:szCs w:val="20"/>
        </w:rPr>
        <w:t>Due</w:t>
      </w:r>
      <w:proofErr w:type="spellEnd"/>
      <w:r w:rsidRPr="006E3C42">
        <w:rPr>
          <w:bCs/>
          <w:i/>
          <w:color w:val="auto"/>
          <w:szCs w:val="20"/>
        </w:rPr>
        <w:t xml:space="preserve"> </w:t>
      </w:r>
      <w:proofErr w:type="spellStart"/>
      <w:r w:rsidRPr="006E3C42">
        <w:rPr>
          <w:bCs/>
          <w:i/>
          <w:color w:val="auto"/>
          <w:szCs w:val="20"/>
        </w:rPr>
        <w:t>Diligence</w:t>
      </w:r>
      <w:proofErr w:type="spellEnd"/>
      <w:r w:rsidRPr="006E3C42">
        <w:rPr>
          <w:bCs/>
          <w:i/>
          <w:color w:val="auto"/>
          <w:szCs w:val="20"/>
        </w:rPr>
        <w:t xml:space="preserve"> </w:t>
      </w:r>
      <w:r w:rsidRPr="006E3C42">
        <w:rPr>
          <w:bCs/>
          <w:color w:val="auto"/>
          <w:szCs w:val="20"/>
        </w:rPr>
        <w:t>da ANBIMA, entendidos como seção um, dois e três.</w:t>
      </w:r>
    </w:p>
    <w:p w:rsidR="00BA6677" w:rsidRPr="006E3C42" w:rsidRDefault="006B0FB7" w:rsidP="008815C6">
      <w:pPr>
        <w:spacing w:beforeLines="120" w:before="288" w:after="0" w:line="240" w:lineRule="auto"/>
        <w:rPr>
          <w:bCs/>
          <w:color w:val="auto"/>
          <w:szCs w:val="20"/>
        </w:rPr>
      </w:pPr>
      <w:r w:rsidRPr="006E3C42">
        <w:rPr>
          <w:bCs/>
          <w:color w:val="auto"/>
          <w:szCs w:val="20"/>
        </w:rPr>
        <w:t>Encontra-se qualificado para participar do processo seletivo qualquer empresa gestora de recursos financeiros autorizada a funcionar pelo órgão regulador (Banco Central do Brasil ou Comissão de Valores Mobiliários), sendo considerada como elegível a gestora/administradora que atender ao critério de avaliação de Qualidade de Gestão dos Investimentos.</w:t>
      </w:r>
      <w:bookmarkStart w:id="113" w:name="_Toc435189700"/>
      <w:bookmarkStart w:id="114" w:name="_Toc435202758"/>
      <w:bookmarkStart w:id="115" w:name="_Toc490036563"/>
    </w:p>
    <w:p w:rsidR="0050706A" w:rsidRPr="006E3C42" w:rsidRDefault="0050706A" w:rsidP="008815C6">
      <w:pPr>
        <w:pStyle w:val="Ttulo1"/>
        <w:spacing w:after="240"/>
        <w:rPr>
          <w:color w:val="auto"/>
        </w:rPr>
      </w:pPr>
      <w:bookmarkStart w:id="116" w:name="_Toc521592806"/>
      <w:r w:rsidRPr="006E3C42">
        <w:rPr>
          <w:color w:val="auto"/>
        </w:rPr>
        <w:t>PRECIFICAÇÃO DE ATIVOS</w:t>
      </w:r>
      <w:bookmarkEnd w:id="116"/>
    </w:p>
    <w:p w:rsidR="00C43795" w:rsidRPr="006E3C42" w:rsidRDefault="00C43795" w:rsidP="00067097">
      <w:pPr>
        <w:spacing w:beforeLines="120" w:before="288" w:line="240" w:lineRule="auto"/>
        <w:rPr>
          <w:bCs/>
          <w:color w:val="auto"/>
          <w:szCs w:val="20"/>
        </w:rPr>
      </w:pPr>
      <w:r w:rsidRPr="006E3C42">
        <w:rPr>
          <w:bCs/>
          <w:color w:val="auto"/>
          <w:szCs w:val="20"/>
        </w:rPr>
        <w:t xml:space="preserve">Os princípios e critérios </w:t>
      </w:r>
      <w:r w:rsidR="00C02502" w:rsidRPr="006E3C42">
        <w:rPr>
          <w:bCs/>
          <w:color w:val="auto"/>
          <w:szCs w:val="20"/>
        </w:rPr>
        <w:t xml:space="preserve">de precificação para os ativos e </w:t>
      </w:r>
      <w:r w:rsidRPr="006E3C42">
        <w:rPr>
          <w:bCs/>
          <w:color w:val="auto"/>
          <w:szCs w:val="20"/>
        </w:rPr>
        <w:t xml:space="preserve">os fundos de investimentos que compõe ou que virão a compor a carteira de investimentos do </w:t>
      </w:r>
      <w:r w:rsidR="00AF522C" w:rsidRPr="006E3C42">
        <w:rPr>
          <w:b/>
          <w:bCs/>
          <w:color w:val="auto"/>
          <w:szCs w:val="20"/>
        </w:rPr>
        <w:t>INSTITUTO DE PREVIDÊNCIA DOS SERVIDORES PÚBLICOS DO MUNICÍPIO DE BOM JESUS DOS PERDÕES</w:t>
      </w:r>
      <w:r w:rsidRPr="006E3C42">
        <w:rPr>
          <w:bCs/>
          <w:color w:val="auto"/>
          <w:szCs w:val="20"/>
        </w:rPr>
        <w:t>, deverão seguir o c</w:t>
      </w:r>
      <w:r w:rsidR="00067097" w:rsidRPr="006E3C42">
        <w:rPr>
          <w:bCs/>
          <w:color w:val="auto"/>
          <w:szCs w:val="20"/>
        </w:rPr>
        <w:t>ritério de precificação de marcação a mercado (</w:t>
      </w:r>
      <w:proofErr w:type="spellStart"/>
      <w:r w:rsidR="00067097" w:rsidRPr="006E3C42">
        <w:rPr>
          <w:bCs/>
          <w:color w:val="auto"/>
          <w:szCs w:val="20"/>
        </w:rPr>
        <w:t>MaM</w:t>
      </w:r>
      <w:proofErr w:type="spellEnd"/>
      <w:r w:rsidR="00067097" w:rsidRPr="006E3C42">
        <w:rPr>
          <w:bCs/>
          <w:color w:val="auto"/>
          <w:szCs w:val="20"/>
        </w:rPr>
        <w:t>).</w:t>
      </w:r>
    </w:p>
    <w:p w:rsidR="004B3B42" w:rsidRPr="006E3C42" w:rsidRDefault="007848F7" w:rsidP="00067097">
      <w:pPr>
        <w:spacing w:beforeLines="120" w:before="288" w:line="240" w:lineRule="auto"/>
        <w:rPr>
          <w:bCs/>
          <w:color w:val="auto"/>
          <w:szCs w:val="20"/>
        </w:rPr>
      </w:pPr>
      <w:r w:rsidRPr="006E3C42">
        <w:rPr>
          <w:bCs/>
          <w:color w:val="auto"/>
          <w:szCs w:val="20"/>
        </w:rPr>
        <w:t xml:space="preserve">Poderão ser contabilizados pelos respectivos custos de aquisição acrescidos dos rendimentos auferidos, cumulativamente, os Títulos Públicos Federais, desde que se cumpra as devidas exigências </w:t>
      </w:r>
      <w:r w:rsidR="004B3B42" w:rsidRPr="006E3C42">
        <w:rPr>
          <w:bCs/>
          <w:color w:val="auto"/>
          <w:szCs w:val="20"/>
        </w:rPr>
        <w:t>da Portaria MF n° 577, de 27 de dezembro de 2017, sendo elas: (i) seja observada a sua compatibilidade com os prazos e taxas das obrigações presentes e futuras do RPPS; (</w:t>
      </w:r>
      <w:proofErr w:type="spellStart"/>
      <w:r w:rsidR="004B3B42" w:rsidRPr="006E3C42">
        <w:rPr>
          <w:bCs/>
          <w:color w:val="auto"/>
          <w:szCs w:val="20"/>
        </w:rPr>
        <w:t>ii</w:t>
      </w:r>
      <w:proofErr w:type="spellEnd"/>
      <w:r w:rsidR="004B3B42" w:rsidRPr="006E3C42">
        <w:rPr>
          <w:bCs/>
          <w:color w:val="auto"/>
          <w:szCs w:val="20"/>
        </w:rPr>
        <w:t>) sejam classificados separadamente dos ativos para negociação, ou seja, daqueles adquiridos com o propósito de serem negociados, independentemente do prazo a decorrer da data da aquisição; (</w:t>
      </w:r>
      <w:proofErr w:type="spellStart"/>
      <w:r w:rsidR="004B3B42" w:rsidRPr="006E3C42">
        <w:rPr>
          <w:bCs/>
          <w:color w:val="auto"/>
          <w:szCs w:val="20"/>
        </w:rPr>
        <w:t>iii</w:t>
      </w:r>
      <w:proofErr w:type="spellEnd"/>
      <w:r w:rsidR="004B3B42" w:rsidRPr="006E3C42">
        <w:rPr>
          <w:bCs/>
          <w:color w:val="auto"/>
          <w:szCs w:val="20"/>
        </w:rPr>
        <w:t xml:space="preserve">) seja comprovada a intenção e capacidade financeira do RPPS de mantê-los em carteira até </w:t>
      </w:r>
      <w:r w:rsidR="004B3B42" w:rsidRPr="006E3C42">
        <w:rPr>
          <w:bCs/>
          <w:color w:val="auto"/>
          <w:szCs w:val="20"/>
        </w:rPr>
        <w:lastRenderedPageBreak/>
        <w:t>o vencimento; e (</w:t>
      </w:r>
      <w:proofErr w:type="spellStart"/>
      <w:r w:rsidR="004B3B42" w:rsidRPr="006E3C42">
        <w:rPr>
          <w:bCs/>
          <w:color w:val="auto"/>
          <w:szCs w:val="20"/>
        </w:rPr>
        <w:t>iv</w:t>
      </w:r>
      <w:proofErr w:type="spellEnd"/>
      <w:r w:rsidR="004B3B42" w:rsidRPr="006E3C42">
        <w:rPr>
          <w:bCs/>
          <w:color w:val="auto"/>
          <w:szCs w:val="20"/>
        </w:rPr>
        <w:t>) sejam atendidas as normas de atuária e de contabilidade aplicáveis aos RPPS, inclusive no que se refere à obrigatoriedade de divulgação das informações relativas aos títulos adquiridos, ao impacto nos resultados e aos requisitos e procedimentos, na hipótese de alteração da forma de precificação dos títulos de emissão do Tesouro Nacional.</w:t>
      </w:r>
    </w:p>
    <w:p w:rsidR="0050706A" w:rsidRPr="006E3C42" w:rsidRDefault="0050706A" w:rsidP="00226B7B">
      <w:pPr>
        <w:pStyle w:val="Ttulo2"/>
        <w:rPr>
          <w:color w:val="auto"/>
        </w:rPr>
      </w:pPr>
      <w:bookmarkStart w:id="117" w:name="_Toc521592807"/>
      <w:r w:rsidRPr="006E3C42">
        <w:rPr>
          <w:color w:val="auto"/>
        </w:rPr>
        <w:t>METODOLOGIA</w:t>
      </w:r>
      <w:bookmarkEnd w:id="117"/>
    </w:p>
    <w:p w:rsidR="007848F7" w:rsidRPr="006E3C42" w:rsidRDefault="00AC0375" w:rsidP="007848F7">
      <w:pPr>
        <w:pStyle w:val="Ttulo3"/>
        <w:spacing w:before="0"/>
        <w:rPr>
          <w:color w:val="auto"/>
        </w:rPr>
      </w:pPr>
      <w:bookmarkStart w:id="118" w:name="_Toc521592808"/>
      <w:r w:rsidRPr="006E3C42">
        <w:rPr>
          <w:color w:val="auto"/>
        </w:rPr>
        <w:t>MARCAÇÕES</w:t>
      </w:r>
      <w:bookmarkEnd w:id="118"/>
    </w:p>
    <w:p w:rsidR="00576270" w:rsidRPr="006E3C42" w:rsidRDefault="007740D7" w:rsidP="00134F10">
      <w:pPr>
        <w:spacing w:beforeLines="120" w:before="288" w:line="240" w:lineRule="auto"/>
        <w:rPr>
          <w:bCs/>
          <w:color w:val="auto"/>
          <w:szCs w:val="20"/>
        </w:rPr>
      </w:pPr>
      <w:r w:rsidRPr="006E3C42">
        <w:rPr>
          <w:bCs/>
          <w:color w:val="auto"/>
          <w:szCs w:val="20"/>
        </w:rPr>
        <w:t xml:space="preserve">O processo de </w:t>
      </w:r>
      <w:r w:rsidRPr="006E3C42">
        <w:rPr>
          <w:b/>
          <w:bCs/>
          <w:color w:val="auto"/>
          <w:szCs w:val="20"/>
          <w:u w:val="single"/>
        </w:rPr>
        <w:t>marcação a mercado</w:t>
      </w:r>
      <w:r w:rsidRPr="006E3C42">
        <w:rPr>
          <w:bCs/>
          <w:color w:val="auto"/>
          <w:szCs w:val="20"/>
        </w:rPr>
        <w:t xml:space="preserve"> consiste em atribuir um preço justo a um determinado ativo ou derivativo, seja pelo preço de mercado, caso haja liquidez, ou seja, na ausência desta, pela melhor estimativa que o preço do ativo teria em uma eventual negociação.</w:t>
      </w:r>
    </w:p>
    <w:p w:rsidR="007848F7" w:rsidRPr="006E3C42" w:rsidRDefault="007848F7" w:rsidP="007848F7">
      <w:pPr>
        <w:rPr>
          <w:color w:val="auto"/>
        </w:rPr>
      </w:pPr>
      <w:r w:rsidRPr="006E3C42">
        <w:rPr>
          <w:color w:val="auto"/>
        </w:rPr>
        <w:t xml:space="preserve">O processo de </w:t>
      </w:r>
      <w:r w:rsidRPr="006E3C42">
        <w:rPr>
          <w:b/>
          <w:color w:val="auto"/>
          <w:u w:val="single"/>
        </w:rPr>
        <w:t>marcação na curva</w:t>
      </w:r>
      <w:r w:rsidRPr="006E3C42">
        <w:rPr>
          <w:color w:val="auto"/>
        </w:rPr>
        <w:t xml:space="preserve"> consiste na contabilização do valor de compra de um determinado título, acrescido da variação da taxa de juros, desde </w:t>
      </w:r>
      <w:r w:rsidR="004B3B42" w:rsidRPr="006E3C42">
        <w:rPr>
          <w:color w:val="auto"/>
        </w:rPr>
        <w:t xml:space="preserve">que </w:t>
      </w:r>
      <w:r w:rsidRPr="006E3C42">
        <w:rPr>
          <w:color w:val="auto"/>
        </w:rPr>
        <w:t xml:space="preserve">a emissão do papel </w:t>
      </w:r>
      <w:r w:rsidR="004B3B42" w:rsidRPr="006E3C42">
        <w:rPr>
          <w:color w:val="auto"/>
        </w:rPr>
        <w:t xml:space="preserve">seja carregada </w:t>
      </w:r>
      <w:r w:rsidRPr="006E3C42">
        <w:rPr>
          <w:color w:val="auto"/>
        </w:rPr>
        <w:t>até o seu respectivo vencimento.</w:t>
      </w:r>
      <w:r w:rsidR="00BF54CB" w:rsidRPr="006E3C42">
        <w:rPr>
          <w:color w:val="auto"/>
        </w:rPr>
        <w:t xml:space="preserve"> O valor será atualizado diariamente, sem considerar a oscilações de preço auferidas no mercado.</w:t>
      </w:r>
    </w:p>
    <w:p w:rsidR="0050706A" w:rsidRPr="006E3C42" w:rsidRDefault="0050706A" w:rsidP="00226B7B">
      <w:pPr>
        <w:pStyle w:val="Ttulo2"/>
        <w:rPr>
          <w:color w:val="auto"/>
        </w:rPr>
      </w:pPr>
      <w:bookmarkStart w:id="119" w:name="_Toc521592809"/>
      <w:r w:rsidRPr="006E3C42">
        <w:rPr>
          <w:color w:val="auto"/>
        </w:rPr>
        <w:t>CRITÉRIOS</w:t>
      </w:r>
      <w:r w:rsidR="00134F10" w:rsidRPr="006E3C42">
        <w:rPr>
          <w:color w:val="auto"/>
        </w:rPr>
        <w:t xml:space="preserve"> DE PRECIFICAÇÃO</w:t>
      </w:r>
      <w:bookmarkEnd w:id="119"/>
    </w:p>
    <w:p w:rsidR="007740D7" w:rsidRPr="006E3C42" w:rsidRDefault="00134F10" w:rsidP="00134F10">
      <w:pPr>
        <w:pStyle w:val="Ttulo3"/>
        <w:spacing w:after="240"/>
        <w:rPr>
          <w:color w:val="auto"/>
        </w:rPr>
      </w:pPr>
      <w:bookmarkStart w:id="120" w:name="_Toc521592810"/>
      <w:r w:rsidRPr="006E3C42">
        <w:rPr>
          <w:color w:val="auto"/>
        </w:rPr>
        <w:t>TÍTULOS PÚBLICOS FEDERAIS</w:t>
      </w:r>
      <w:bookmarkEnd w:id="120"/>
    </w:p>
    <w:p w:rsidR="00C13039" w:rsidRPr="006E3C42" w:rsidRDefault="00C13039" w:rsidP="00134F10">
      <w:pPr>
        <w:spacing w:after="240"/>
        <w:rPr>
          <w:color w:val="auto"/>
        </w:rPr>
      </w:pPr>
      <w:r w:rsidRPr="006E3C42">
        <w:rPr>
          <w:bCs/>
          <w:color w:val="auto"/>
        </w:rPr>
        <w:t xml:space="preserve">São </w:t>
      </w:r>
      <w:r w:rsidRPr="006E3C42">
        <w:rPr>
          <w:color w:val="auto"/>
        </w:rPr>
        <w:t>ativos de renda fixa emitidos pelo Tesouro Nacional, que representam uma forma de financiar a dívida pública e permitem que os investidores emprestem dinheiro para o governo, recebendo em troca uma determinada rentabilidade. Possuem diversas características como: liquidez diária, baixo custo, baixíssimo risco de crédito, e a solidez de uma instituição enorme por trás.</w:t>
      </w:r>
    </w:p>
    <w:p w:rsidR="00C13039" w:rsidRPr="006E3C42" w:rsidRDefault="00C13039" w:rsidP="00134F10">
      <w:pPr>
        <w:spacing w:after="240"/>
        <w:rPr>
          <w:color w:val="auto"/>
        </w:rPr>
      </w:pPr>
      <w:r w:rsidRPr="006E3C42">
        <w:rPr>
          <w:color w:val="auto"/>
        </w:rPr>
        <w:t>Como fonte primária de dados, a curva de títulos em reais, gerada a partir da taxa indicativa divulgada pela ANBIMA e a taxa de juros divulgada pelo Banco Central, encontramos o valor do preço unitário do título público.</w:t>
      </w:r>
    </w:p>
    <w:p w:rsidR="00211C8C" w:rsidRPr="006E3C42" w:rsidRDefault="00211C8C" w:rsidP="00C95BFC">
      <w:pPr>
        <w:pStyle w:val="Ttulo4"/>
        <w:rPr>
          <w:color w:val="auto"/>
        </w:rPr>
      </w:pPr>
      <w:r w:rsidRPr="006E3C42">
        <w:rPr>
          <w:color w:val="auto"/>
        </w:rPr>
        <w:t>Marcação a Mercado</w:t>
      </w:r>
    </w:p>
    <w:p w:rsidR="004B3B42" w:rsidRPr="006E3C42" w:rsidRDefault="00C13039" w:rsidP="00AC0375">
      <w:pPr>
        <w:spacing w:after="240"/>
        <w:rPr>
          <w:color w:val="auto"/>
        </w:rPr>
      </w:pPr>
      <w:r w:rsidRPr="006E3C42">
        <w:rPr>
          <w:color w:val="auto"/>
        </w:rPr>
        <w:t>Através do preço unitário divulgado no extrato do custodiante, multiplicado pela quantidade de títulos públicos detidos pelo regime, obtivemos o valor a mercado do título público na carteira de investimentos. Abaixo segue fórmula:</w:t>
      </w:r>
    </w:p>
    <w:p w:rsidR="00C13039" w:rsidRPr="006E3C42" w:rsidRDefault="00D13FB8" w:rsidP="00134F10">
      <w:pPr>
        <w:spacing w:after="240"/>
        <w:rPr>
          <w:color w:val="auto"/>
        </w:rPr>
      </w:pPr>
      <m:oMathPara>
        <m:oMathParaPr>
          <m:jc m:val="center"/>
        </m:oMathParaPr>
        <m:oMath>
          <m:r>
            <w:rPr>
              <w:rFonts w:ascii="Cambria Math" w:hAnsi="Cambria Math"/>
              <w:color w:val="auto"/>
            </w:rPr>
            <m:t>Vm=P</m:t>
          </m:r>
          <m:sSub>
            <m:sSubPr>
              <m:ctrlPr>
                <w:rPr>
                  <w:rFonts w:ascii="Cambria Math" w:hAnsi="Cambria Math"/>
                  <w:i/>
                  <w:color w:val="auto"/>
                </w:rPr>
              </m:ctrlPr>
            </m:sSubPr>
            <m:e>
              <m:r>
                <w:rPr>
                  <w:rFonts w:ascii="Cambria Math" w:hAnsi="Cambria Math"/>
                  <w:color w:val="auto"/>
                </w:rPr>
                <m:t>U</m:t>
              </m:r>
            </m:e>
            <m:sub>
              <m:r>
                <w:rPr>
                  <w:rFonts w:ascii="Cambria Math" w:hAnsi="Cambria Math"/>
                  <w:color w:val="auto"/>
                </w:rPr>
                <m:t>Atual</m:t>
              </m:r>
            </m:sub>
          </m:sSub>
          <m:r>
            <w:rPr>
              <w:rFonts w:ascii="Cambria Math" w:hAnsi="Cambria Math"/>
              <w:color w:val="auto"/>
            </w:rPr>
            <m:t>*Q</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título</m:t>
              </m:r>
            </m:sub>
          </m:sSub>
        </m:oMath>
      </m:oMathPara>
    </w:p>
    <w:p w:rsidR="00EF7905" w:rsidRPr="006E3C42" w:rsidRDefault="00EF7905" w:rsidP="00AB69A3">
      <w:pPr>
        <w:spacing w:after="240"/>
        <w:rPr>
          <w:color w:val="auto"/>
        </w:rPr>
      </w:pPr>
      <w:r w:rsidRPr="006E3C42">
        <w:rPr>
          <w:color w:val="auto"/>
        </w:rPr>
        <w:t>Onde:</w:t>
      </w:r>
    </w:p>
    <w:p w:rsidR="00C13039" w:rsidRPr="006E3C42" w:rsidRDefault="00EF7905" w:rsidP="00AB69A3">
      <w:pPr>
        <w:spacing w:after="240"/>
        <w:rPr>
          <w:color w:val="auto"/>
        </w:rPr>
      </w:pPr>
      <w:proofErr w:type="spellStart"/>
      <w:r w:rsidRPr="006E3C42">
        <w:rPr>
          <w:color w:val="auto"/>
        </w:rPr>
        <w:t>Vm</w:t>
      </w:r>
      <w:proofErr w:type="spellEnd"/>
      <w:r w:rsidRPr="006E3C42">
        <w:rPr>
          <w:color w:val="auto"/>
        </w:rPr>
        <w:t xml:space="preserve"> = valor de mercado</w:t>
      </w:r>
    </w:p>
    <w:p w:rsidR="00EF7905" w:rsidRPr="006E3C42" w:rsidRDefault="00E22307" w:rsidP="00B829E0">
      <w:pPr>
        <w:spacing w:after="240"/>
        <w:ind w:left="1134"/>
        <w:rPr>
          <w:color w:val="auto"/>
        </w:rPr>
      </w:pPr>
      <m:oMath>
        <m:r>
          <w:rPr>
            <w:rFonts w:ascii="Cambria Math" w:eastAsiaTheme="minorEastAsia" w:hAnsi="Cambria Math"/>
            <w:color w:val="auto"/>
          </w:rPr>
          <m:t>P</m:t>
        </m:r>
        <m:sSub>
          <m:sSubPr>
            <m:ctrlPr>
              <w:rPr>
                <w:rFonts w:ascii="Cambria Math" w:eastAsiaTheme="minorEastAsia" w:hAnsi="Cambria Math"/>
                <w:i/>
                <w:color w:val="auto"/>
              </w:rPr>
            </m:ctrlPr>
          </m:sSubPr>
          <m:e>
            <m:r>
              <w:rPr>
                <w:rFonts w:ascii="Cambria Math" w:eastAsiaTheme="minorEastAsia" w:hAnsi="Cambria Math"/>
                <w:color w:val="auto"/>
              </w:rPr>
              <m:t>U</m:t>
            </m:r>
          </m:e>
          <m:sub>
            <m:r>
              <w:rPr>
                <w:rFonts w:ascii="Cambria Math" w:eastAsiaTheme="minorEastAsia" w:hAnsi="Cambria Math"/>
                <w:color w:val="auto"/>
              </w:rPr>
              <m:t>atual</m:t>
            </m:r>
          </m:sub>
        </m:sSub>
      </m:oMath>
      <w:r w:rsidR="00EF7905" w:rsidRPr="006E3C42">
        <w:rPr>
          <w:color w:val="auto"/>
        </w:rPr>
        <w:t xml:space="preserve"> = preço unitário atual</w:t>
      </w:r>
    </w:p>
    <w:p w:rsidR="004B3B42" w:rsidRPr="006E3C42" w:rsidRDefault="00E22307" w:rsidP="00B829E0">
      <w:pPr>
        <w:spacing w:after="240"/>
        <w:ind w:left="1134"/>
        <w:rPr>
          <w:color w:val="auto"/>
        </w:rPr>
      </w:pPr>
      <m:oMath>
        <m:r>
          <w:rPr>
            <w:rFonts w:ascii="Cambria Math" w:hAnsi="Cambria Math"/>
            <w:color w:val="auto"/>
          </w:rPr>
          <m:t>Q</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títulos</m:t>
            </m:r>
          </m:sub>
        </m:sSub>
      </m:oMath>
      <w:r w:rsidR="00EF7905" w:rsidRPr="006E3C42">
        <w:rPr>
          <w:color w:val="auto"/>
        </w:rPr>
        <w:t xml:space="preserve"> = quantidade de títulos em posso do regime</w:t>
      </w:r>
    </w:p>
    <w:p w:rsidR="00BF54CB" w:rsidRPr="006E3C42" w:rsidRDefault="00BF54CB" w:rsidP="00C95BFC">
      <w:pPr>
        <w:pStyle w:val="Ttulo4"/>
        <w:rPr>
          <w:color w:val="auto"/>
        </w:rPr>
      </w:pPr>
      <w:r w:rsidRPr="006E3C42">
        <w:rPr>
          <w:color w:val="auto"/>
        </w:rPr>
        <w:t>Marcação na Curva</w:t>
      </w:r>
    </w:p>
    <w:p w:rsidR="00BF54CB" w:rsidRPr="006E3C42" w:rsidRDefault="005E7912" w:rsidP="00AB69A3">
      <w:pPr>
        <w:spacing w:after="240"/>
        <w:rPr>
          <w:color w:val="auto"/>
        </w:rPr>
      </w:pPr>
      <w:r w:rsidRPr="006E3C42">
        <w:rPr>
          <w:color w:val="auto"/>
        </w:rPr>
        <w:t xml:space="preserve">Como a precificação na curva é dada pela apropriação natural de juros até a data de vencimento do título, as </w:t>
      </w:r>
      <w:r w:rsidR="00713171" w:rsidRPr="006E3C42">
        <w:rPr>
          <w:color w:val="auto"/>
        </w:rPr>
        <w:t>fórmula</w:t>
      </w:r>
      <w:r w:rsidRPr="006E3C42">
        <w:rPr>
          <w:color w:val="auto"/>
        </w:rPr>
        <w:t>s variam de acordo com o tipo de papel, sendo</w:t>
      </w:r>
      <w:r w:rsidR="00713171" w:rsidRPr="006E3C42">
        <w:rPr>
          <w:color w:val="auto"/>
        </w:rPr>
        <w:t>:</w:t>
      </w:r>
    </w:p>
    <w:p w:rsidR="005E7912" w:rsidRPr="006E3C42" w:rsidRDefault="005E7912" w:rsidP="00B829E0">
      <w:pPr>
        <w:spacing w:after="240"/>
        <w:ind w:left="708"/>
        <w:rPr>
          <w:b/>
          <w:i/>
          <w:color w:val="auto"/>
        </w:rPr>
      </w:pPr>
      <w:r w:rsidRPr="006E3C42">
        <w:rPr>
          <w:b/>
          <w:i/>
          <w:color w:val="auto"/>
        </w:rPr>
        <w:t>Tesouro IPCA – NTN-B</w:t>
      </w:r>
    </w:p>
    <w:p w:rsidR="005E7912" w:rsidRPr="006E3C42" w:rsidRDefault="005E7912" w:rsidP="005E7912">
      <w:pPr>
        <w:spacing w:after="240"/>
        <w:rPr>
          <w:color w:val="auto"/>
        </w:rPr>
      </w:pPr>
      <w:r w:rsidRPr="006E3C42">
        <w:rPr>
          <w:color w:val="auto"/>
        </w:rPr>
        <w:t>O Tesouro IPCA – NTN-B Principal possui fluxo de pagamento simples, ou seja, o investidor faz a aplicação e resgata o valor de face (valor investido somado à rentabilidade) na data de vencimento do título.</w:t>
      </w:r>
    </w:p>
    <w:p w:rsidR="005E7912" w:rsidRPr="006E3C42" w:rsidRDefault="005E7912" w:rsidP="005E7912">
      <w:pPr>
        <w:spacing w:after="240"/>
        <w:rPr>
          <w:color w:val="auto"/>
        </w:rPr>
      </w:pPr>
      <w:r w:rsidRPr="006E3C42">
        <w:rPr>
          <w:color w:val="auto"/>
        </w:rPr>
        <w:t>É um título pós-fixado cujo rendimento se dá por uma taxa definida mais a variação da taxa do Índice Nacional de Preço ao Consumidor Amplo em um determinado período.</w:t>
      </w:r>
    </w:p>
    <w:p w:rsidR="005E7912" w:rsidRPr="006E3C42" w:rsidRDefault="005E7912" w:rsidP="005E7912">
      <w:pPr>
        <w:spacing w:after="240"/>
        <w:rPr>
          <w:color w:val="auto"/>
        </w:rPr>
      </w:pPr>
      <w:r w:rsidRPr="006E3C42">
        <w:rPr>
          <w:color w:val="auto"/>
        </w:rPr>
        <w:t>O Valor Nominal Atualizado é calculado através do VNA na data de compra do título e da projeção do IPCA para a data de liquidação, seguindo a equação:</w:t>
      </w:r>
    </w:p>
    <w:p w:rsidR="005E7912" w:rsidRPr="006E3C42" w:rsidRDefault="005E7912" w:rsidP="005E7912">
      <w:pPr>
        <w:spacing w:after="240"/>
        <w:rPr>
          <w:rFonts w:eastAsiaTheme="minorEastAsia"/>
          <w:i/>
          <w:color w:val="auto"/>
        </w:rPr>
      </w:pPr>
      <m:oMathPara>
        <m:oMath>
          <m:r>
            <w:rPr>
              <w:rFonts w:ascii="Cambria Math" w:hAnsi="Cambria Math"/>
              <w:color w:val="auto"/>
            </w:rPr>
            <w:lastRenderedPageBreak/>
            <m:t>VNA=</m:t>
          </m:r>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IPCA</m:t>
                      </m:r>
                    </m:e>
                    <m:sub>
                      <m:r>
                        <w:rPr>
                          <w:rFonts w:ascii="Cambria Math" w:hAnsi="Cambria Math"/>
                          <w:color w:val="auto"/>
                        </w:rPr>
                        <m:t>projetado</m:t>
                      </m:r>
                    </m:sub>
                  </m:sSub>
                </m:e>
              </m:d>
            </m:e>
            <m:sup>
              <m:r>
                <w:rPr>
                  <w:rFonts w:ascii="Cambria Math" w:hAnsi="Cambria Math"/>
                  <w:color w:val="auto"/>
                </w:rPr>
                <m:t>1/252</m:t>
              </m:r>
            </m:sup>
          </m:sSup>
        </m:oMath>
      </m:oMathPara>
    </w:p>
    <w:p w:rsidR="00E601D4" w:rsidRPr="006E3C42" w:rsidRDefault="00E601D4" w:rsidP="005E7912">
      <w:pPr>
        <w:spacing w:after="240"/>
        <w:rPr>
          <w:color w:val="auto"/>
        </w:rPr>
      </w:pPr>
      <w:r w:rsidRPr="006E3C42">
        <w:rPr>
          <w:color w:val="auto"/>
        </w:rPr>
        <w:t>Onde:</w:t>
      </w:r>
    </w:p>
    <w:p w:rsidR="00E601D4" w:rsidRPr="006E3C42" w:rsidRDefault="00E601D4" w:rsidP="00B829E0">
      <w:pPr>
        <w:spacing w:after="0"/>
        <w:ind w:left="1134"/>
        <w:rPr>
          <w:rFonts w:eastAsiaTheme="minorEastAsia"/>
          <w:color w:val="auto"/>
        </w:rPr>
      </w:pPr>
      <m:oMath>
        <m:r>
          <w:rPr>
            <w:rFonts w:ascii="Cambria Math" w:hAnsi="Cambria Math"/>
            <w:color w:val="auto"/>
          </w:rPr>
          <m:t>VNA</m:t>
        </m:r>
      </m:oMath>
      <w:r w:rsidRPr="006E3C42">
        <w:rPr>
          <w:rFonts w:eastAsiaTheme="minorEastAsia"/>
          <w:color w:val="auto"/>
        </w:rPr>
        <w:t xml:space="preserve"> = Valor Nominal Atualizado</w:t>
      </w:r>
    </w:p>
    <w:p w:rsidR="00E601D4" w:rsidRPr="006E3C42" w:rsidRDefault="006E3C42" w:rsidP="00B829E0">
      <w:pPr>
        <w:spacing w:after="0"/>
        <w:ind w:left="1134"/>
        <w:rPr>
          <w:rFonts w:eastAsiaTheme="minorEastAsia"/>
          <w:color w:val="auto"/>
        </w:rPr>
      </w:pPr>
      <m:oMath>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oMath>
      <w:r w:rsidR="00E601D4" w:rsidRPr="006E3C42">
        <w:rPr>
          <w:rFonts w:eastAsiaTheme="minorEastAsia"/>
          <w:color w:val="auto"/>
        </w:rPr>
        <w:t xml:space="preserve"> = Valor Nominal Atualizado na data da compra</w:t>
      </w:r>
    </w:p>
    <w:p w:rsidR="00E601D4" w:rsidRPr="006E3C42" w:rsidRDefault="006E3C42" w:rsidP="00B829E0">
      <w:pPr>
        <w:spacing w:after="240"/>
        <w:ind w:left="1134"/>
        <w:rPr>
          <w:color w:val="auto"/>
        </w:rPr>
      </w:pPr>
      <m:oMath>
        <m:sSub>
          <m:sSubPr>
            <m:ctrlPr>
              <w:rPr>
                <w:rFonts w:ascii="Cambria Math" w:hAnsi="Cambria Math"/>
                <w:i/>
                <w:color w:val="auto"/>
              </w:rPr>
            </m:ctrlPr>
          </m:sSubPr>
          <m:e>
            <m:r>
              <w:rPr>
                <w:rFonts w:ascii="Cambria Math" w:hAnsi="Cambria Math"/>
                <w:color w:val="auto"/>
              </w:rPr>
              <m:t>IPCA</m:t>
            </m:r>
          </m:e>
          <m:sub>
            <m:r>
              <w:rPr>
                <w:rFonts w:ascii="Cambria Math" w:hAnsi="Cambria Math"/>
                <w:color w:val="auto"/>
              </w:rPr>
              <m:t>projetado</m:t>
            </m:r>
          </m:sub>
        </m:sSub>
      </m:oMath>
      <w:r w:rsidR="00E601D4" w:rsidRPr="006E3C42">
        <w:rPr>
          <w:rFonts w:eastAsiaTheme="minorEastAsia"/>
          <w:color w:val="auto"/>
        </w:rPr>
        <w:t xml:space="preserve"> = Inflação projetada para o final do exercício</w:t>
      </w:r>
    </w:p>
    <w:p w:rsidR="00E601D4" w:rsidRPr="006E3C42" w:rsidRDefault="00E601D4" w:rsidP="005E7912">
      <w:pPr>
        <w:spacing w:after="240"/>
        <w:rPr>
          <w:color w:val="auto"/>
        </w:rPr>
      </w:pPr>
      <w:r w:rsidRPr="006E3C42">
        <w:rPr>
          <w:color w:val="auto"/>
        </w:rPr>
        <w:t>O rendimento da aplicação é recebido pelo investidor ao longo do investimento, por meio do pagamento de juros semestrais e na data de vencimento com resgate do valor de face somado ao último cupom de juros.</w:t>
      </w:r>
    </w:p>
    <w:p w:rsidR="00E601D4" w:rsidRPr="006E3C42" w:rsidRDefault="00E601D4" w:rsidP="00BF442A">
      <w:pPr>
        <w:spacing w:after="240"/>
        <w:rPr>
          <w:b/>
          <w:i/>
          <w:color w:val="auto"/>
        </w:rPr>
      </w:pPr>
      <w:r w:rsidRPr="006E3C42">
        <w:rPr>
          <w:b/>
          <w:i/>
          <w:color w:val="auto"/>
        </w:rPr>
        <w:t>Tesouro SELIC – LFT</w:t>
      </w:r>
    </w:p>
    <w:p w:rsidR="00E601D4" w:rsidRPr="006E3C42" w:rsidRDefault="00E601D4" w:rsidP="00E601D4">
      <w:pPr>
        <w:rPr>
          <w:color w:val="auto"/>
        </w:rPr>
      </w:pPr>
      <w:r w:rsidRPr="006E3C42">
        <w:rPr>
          <w:color w:val="auto"/>
        </w:rPr>
        <w:t>O Tesouro SELIC possui fluxo de pagamento simples pós-fixado pela variação da taxa SELIC.</w:t>
      </w:r>
    </w:p>
    <w:p w:rsidR="00E601D4" w:rsidRPr="006E3C42" w:rsidRDefault="00E601D4" w:rsidP="00E601D4">
      <w:pPr>
        <w:rPr>
          <w:color w:val="auto"/>
        </w:rPr>
      </w:pPr>
      <w:r w:rsidRPr="006E3C42">
        <w:rPr>
          <w:color w:val="auto"/>
        </w:rPr>
        <w:t xml:space="preserve">O valor projetado a ser pago pelo título, é o valor na data base, corrigido pela taxa acumulada da SELIC até o dia de compra, mais uma correção da taxa SELIC meta para dia da liquidação do título. </w:t>
      </w:r>
      <w:r w:rsidR="00002414" w:rsidRPr="006E3C42">
        <w:rPr>
          <w:color w:val="auto"/>
        </w:rPr>
        <w:t>Sendo seu cálculo:</w:t>
      </w:r>
    </w:p>
    <w:p w:rsidR="00002414" w:rsidRPr="006E3C42" w:rsidRDefault="00002414" w:rsidP="00002414">
      <w:pPr>
        <w:spacing w:after="240"/>
        <w:rPr>
          <w:rFonts w:eastAsiaTheme="minorEastAsia"/>
          <w:i/>
          <w:color w:val="auto"/>
        </w:rPr>
      </w:pPr>
      <m:oMathPara>
        <m:oMath>
          <m:r>
            <w:rPr>
              <w:rFonts w:ascii="Cambria Math" w:hAnsi="Cambria Math"/>
              <w:color w:val="auto"/>
            </w:rPr>
            <m:t>VNA=</m:t>
          </m:r>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SELIC</m:t>
                      </m:r>
                    </m:e>
                    <m:sub>
                      <m:r>
                        <w:rPr>
                          <w:rFonts w:ascii="Cambria Math" w:hAnsi="Cambria Math"/>
                          <w:color w:val="auto"/>
                        </w:rPr>
                        <m:t>meta</m:t>
                      </m:r>
                    </m:sub>
                  </m:sSub>
                </m:e>
              </m:d>
            </m:e>
            <m:sup>
              <m:r>
                <w:rPr>
                  <w:rFonts w:ascii="Cambria Math" w:hAnsi="Cambria Math"/>
                  <w:color w:val="auto"/>
                </w:rPr>
                <m:t>1/252</m:t>
              </m:r>
            </m:sup>
          </m:sSup>
        </m:oMath>
      </m:oMathPara>
    </w:p>
    <w:p w:rsidR="00002414" w:rsidRPr="006E3C42" w:rsidRDefault="00002414" w:rsidP="00E601D4">
      <w:pPr>
        <w:rPr>
          <w:color w:val="auto"/>
        </w:rPr>
      </w:pPr>
    </w:p>
    <w:p w:rsidR="00002414" w:rsidRPr="006E3C42" w:rsidRDefault="00002414" w:rsidP="00E601D4">
      <w:pPr>
        <w:rPr>
          <w:color w:val="auto"/>
        </w:rPr>
      </w:pPr>
      <w:r w:rsidRPr="006E3C42">
        <w:rPr>
          <w:color w:val="auto"/>
        </w:rPr>
        <w:t>Onde:</w:t>
      </w:r>
    </w:p>
    <w:p w:rsidR="00002414" w:rsidRPr="006E3C42" w:rsidRDefault="00002414" w:rsidP="00B829E0">
      <w:pPr>
        <w:spacing w:after="0"/>
        <w:ind w:left="1134"/>
        <w:rPr>
          <w:rFonts w:eastAsiaTheme="minorEastAsia"/>
          <w:color w:val="auto"/>
        </w:rPr>
      </w:pPr>
      <m:oMath>
        <m:r>
          <w:rPr>
            <w:rFonts w:ascii="Cambria Math" w:hAnsi="Cambria Math"/>
            <w:color w:val="auto"/>
          </w:rPr>
          <m:t>VNA</m:t>
        </m:r>
      </m:oMath>
      <w:r w:rsidRPr="006E3C42">
        <w:rPr>
          <w:rFonts w:eastAsiaTheme="minorEastAsia"/>
          <w:color w:val="auto"/>
        </w:rPr>
        <w:t xml:space="preserve"> = Valor Nominal Atualizado</w:t>
      </w:r>
    </w:p>
    <w:p w:rsidR="00002414" w:rsidRPr="006E3C42" w:rsidRDefault="006E3C42" w:rsidP="00B829E0">
      <w:pPr>
        <w:spacing w:after="0"/>
        <w:ind w:left="1134"/>
        <w:rPr>
          <w:rFonts w:eastAsiaTheme="minorEastAsia"/>
          <w:color w:val="auto"/>
        </w:rPr>
      </w:pPr>
      <m:oMath>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oMath>
      <w:r w:rsidR="00002414" w:rsidRPr="006E3C42">
        <w:rPr>
          <w:rFonts w:eastAsiaTheme="minorEastAsia"/>
          <w:color w:val="auto"/>
        </w:rPr>
        <w:t xml:space="preserve"> = Valor Nominal Atualizado na data da compra</w:t>
      </w:r>
    </w:p>
    <w:p w:rsidR="00002414" w:rsidRPr="006E3C42" w:rsidRDefault="006E3C42" w:rsidP="00B829E0">
      <w:pPr>
        <w:spacing w:after="240"/>
        <w:ind w:left="1134"/>
        <w:rPr>
          <w:color w:val="auto"/>
        </w:rPr>
      </w:pPr>
      <m:oMath>
        <m:sSub>
          <m:sSubPr>
            <m:ctrlPr>
              <w:rPr>
                <w:rFonts w:ascii="Cambria Math" w:hAnsi="Cambria Math"/>
                <w:i/>
                <w:color w:val="auto"/>
              </w:rPr>
            </m:ctrlPr>
          </m:sSubPr>
          <m:e>
            <m:r>
              <w:rPr>
                <w:rFonts w:ascii="Cambria Math" w:hAnsi="Cambria Math"/>
                <w:color w:val="auto"/>
              </w:rPr>
              <m:t>SELIC</m:t>
            </m:r>
          </m:e>
          <m:sub>
            <m:r>
              <w:rPr>
                <w:rFonts w:ascii="Cambria Math" w:hAnsi="Cambria Math"/>
                <w:color w:val="auto"/>
              </w:rPr>
              <m:t>meta</m:t>
            </m:r>
          </m:sub>
        </m:sSub>
      </m:oMath>
      <w:r w:rsidR="00002414" w:rsidRPr="006E3C42">
        <w:rPr>
          <w:rFonts w:eastAsiaTheme="minorEastAsia"/>
          <w:color w:val="auto"/>
        </w:rPr>
        <w:t xml:space="preserve"> = Inflação atualizada</w:t>
      </w:r>
    </w:p>
    <w:p w:rsidR="00002414" w:rsidRPr="006E3C42" w:rsidRDefault="00002414" w:rsidP="00BF442A">
      <w:pPr>
        <w:spacing w:after="240"/>
        <w:rPr>
          <w:b/>
          <w:i/>
          <w:color w:val="auto"/>
        </w:rPr>
      </w:pPr>
      <w:r w:rsidRPr="006E3C42">
        <w:rPr>
          <w:b/>
          <w:i/>
          <w:color w:val="auto"/>
        </w:rPr>
        <w:t>Tesouro Prefixado – LTN</w:t>
      </w:r>
    </w:p>
    <w:p w:rsidR="00002414" w:rsidRPr="006E3C42" w:rsidRDefault="00002414" w:rsidP="00002414">
      <w:pPr>
        <w:rPr>
          <w:color w:val="auto"/>
        </w:rPr>
      </w:pPr>
      <w:r w:rsidRPr="006E3C42">
        <w:rPr>
          <w:color w:val="auto"/>
        </w:rPr>
        <w:t>A LTN é um título prefixado, ou seja, sua rentabilidade é definida no momento da compra, que não faz pagamentos semestrais. A rentabilidade é calculada pela diferença entre o preço de compra do título e seu valor nominal no vencimento, R$ 1.000,00.</w:t>
      </w:r>
    </w:p>
    <w:p w:rsidR="00002414" w:rsidRPr="006E3C42" w:rsidRDefault="00002414" w:rsidP="00002414">
      <w:pPr>
        <w:rPr>
          <w:color w:val="auto"/>
        </w:rPr>
      </w:pPr>
      <w:r w:rsidRPr="006E3C42">
        <w:rPr>
          <w:color w:val="auto"/>
        </w:rPr>
        <w:t>A partir da diferença entre o preço de compra e o de venda, é possível determinar a taxa de rendimento. Essa taxa pode ser calculada de duas formas:</w:t>
      </w:r>
    </w:p>
    <w:p w:rsidR="00002414" w:rsidRPr="006E3C42" w:rsidRDefault="00002414" w:rsidP="00002414">
      <w:pPr>
        <w:rPr>
          <w:rFonts w:eastAsiaTheme="minorEastAsia"/>
          <w:color w:val="auto"/>
        </w:rPr>
      </w:pPr>
      <m:oMathPara>
        <m:oMath>
          <m:r>
            <w:rPr>
              <w:rFonts w:ascii="Cambria Math" w:hAnsi="Cambria Math"/>
              <w:color w:val="auto"/>
            </w:rPr>
            <m:t xml:space="preserve">Taxa Efetiva no Período= </m:t>
          </m:r>
          <m:d>
            <m:dPr>
              <m:begChr m:val="["/>
              <m:endChr m:val="]"/>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Valor de Venda</m:t>
                  </m:r>
                </m:num>
                <m:den>
                  <m:r>
                    <w:rPr>
                      <w:rFonts w:ascii="Cambria Math" w:hAnsi="Cambria Math"/>
                      <w:color w:val="auto"/>
                    </w:rPr>
                    <m:t>Valor de Compra</m:t>
                  </m:r>
                </m:den>
              </m:f>
              <m:r>
                <w:rPr>
                  <w:rFonts w:ascii="Cambria Math" w:hAnsi="Cambria Math"/>
                  <w:color w:val="auto"/>
                </w:rPr>
                <m:t>-1</m:t>
              </m:r>
            </m:e>
          </m:d>
          <m:r>
            <w:rPr>
              <w:rFonts w:ascii="Cambria Math" w:hAnsi="Cambria Math"/>
              <w:color w:val="auto"/>
            </w:rPr>
            <m:t>*100</m:t>
          </m:r>
        </m:oMath>
      </m:oMathPara>
    </w:p>
    <w:p w:rsidR="00002414" w:rsidRPr="006E3C42" w:rsidRDefault="005005B1" w:rsidP="00002414">
      <w:pPr>
        <w:rPr>
          <w:rFonts w:eastAsiaTheme="minorEastAsia"/>
          <w:color w:val="auto"/>
        </w:rPr>
      </w:pPr>
      <w:r w:rsidRPr="006E3C42">
        <w:rPr>
          <w:rFonts w:eastAsiaTheme="minorEastAsia"/>
          <w:color w:val="auto"/>
        </w:rPr>
        <w:t>Onde:</w:t>
      </w:r>
    </w:p>
    <w:p w:rsidR="005005B1" w:rsidRPr="006E3C42" w:rsidRDefault="005005B1" w:rsidP="00B829E0">
      <w:pPr>
        <w:ind w:left="1134"/>
        <w:rPr>
          <w:rFonts w:eastAsiaTheme="minorEastAsia"/>
          <w:color w:val="auto"/>
        </w:rPr>
      </w:pPr>
      <m:oMath>
        <m:r>
          <w:rPr>
            <w:rFonts w:ascii="Cambria Math" w:hAnsi="Cambria Math"/>
            <w:color w:val="auto"/>
          </w:rPr>
          <m:t>Taxa Efetiva no Período</m:t>
        </m:r>
      </m:oMath>
      <w:r w:rsidRPr="006E3C42">
        <w:rPr>
          <w:rFonts w:eastAsiaTheme="minorEastAsia"/>
          <w:color w:val="auto"/>
        </w:rPr>
        <w:t xml:space="preserve"> = Taxa negociada no momento da compra</w:t>
      </w:r>
    </w:p>
    <w:p w:rsidR="005005B1" w:rsidRPr="006E3C42" w:rsidRDefault="005005B1" w:rsidP="00B829E0">
      <w:pPr>
        <w:ind w:left="1134"/>
        <w:rPr>
          <w:rFonts w:eastAsiaTheme="minorEastAsia"/>
          <w:color w:val="auto"/>
        </w:rPr>
      </w:pPr>
      <m:oMath>
        <m:r>
          <w:rPr>
            <w:rFonts w:ascii="Cambria Math" w:eastAsiaTheme="minorEastAsia" w:hAnsi="Cambria Math"/>
            <w:color w:val="auto"/>
          </w:rPr>
          <m:t>Valor de Venda</m:t>
        </m:r>
      </m:oMath>
      <w:r w:rsidRPr="006E3C42">
        <w:rPr>
          <w:rFonts w:eastAsiaTheme="minorEastAsia"/>
          <w:color w:val="auto"/>
        </w:rPr>
        <w:t xml:space="preserve"> = Valor de negociação do Título Público na data final</w:t>
      </w:r>
    </w:p>
    <w:p w:rsidR="005005B1" w:rsidRPr="006E3C42" w:rsidRDefault="005005B1" w:rsidP="00B829E0">
      <w:pPr>
        <w:ind w:left="1134"/>
        <w:rPr>
          <w:rFonts w:eastAsiaTheme="minorEastAsia"/>
          <w:color w:val="auto"/>
        </w:rPr>
      </w:pPr>
      <m:oMath>
        <m:r>
          <w:rPr>
            <w:rFonts w:ascii="Cambria Math" w:eastAsiaTheme="minorEastAsia" w:hAnsi="Cambria Math"/>
            <w:color w:val="auto"/>
          </w:rPr>
          <m:t>Valor de Compra</m:t>
        </m:r>
      </m:oMath>
      <w:r w:rsidRPr="006E3C42">
        <w:rPr>
          <w:rFonts w:eastAsiaTheme="minorEastAsia"/>
          <w:color w:val="auto"/>
        </w:rPr>
        <w:t xml:space="preserve"> = Valor de negociação do Título na aquisição</w:t>
      </w:r>
    </w:p>
    <w:p w:rsidR="00002414" w:rsidRPr="006E3C42" w:rsidRDefault="00002414" w:rsidP="00002414">
      <w:pPr>
        <w:rPr>
          <w:color w:val="auto"/>
        </w:rPr>
      </w:pPr>
      <w:r w:rsidRPr="006E3C42">
        <w:rPr>
          <w:color w:val="auto"/>
        </w:rPr>
        <w:t>Ou, tendo como base um ano de 252 dias úteis:</w:t>
      </w:r>
    </w:p>
    <w:p w:rsidR="00002414" w:rsidRPr="006E3C42" w:rsidRDefault="00002414" w:rsidP="00002414">
      <w:pPr>
        <w:rPr>
          <w:rFonts w:eastAsiaTheme="minorEastAsia"/>
          <w:color w:val="auto"/>
        </w:rPr>
      </w:pPr>
      <m:oMathPara>
        <m:oMath>
          <m:r>
            <w:rPr>
              <w:rFonts w:ascii="Cambria Math" w:hAnsi="Cambria Math"/>
              <w:color w:val="auto"/>
            </w:rPr>
            <m:t xml:space="preserve">Taxa Efetiva no Período= </m:t>
          </m:r>
          <m:d>
            <m:dPr>
              <m:begChr m:val="["/>
              <m:endChr m:val="]"/>
              <m:ctrlPr>
                <w:rPr>
                  <w:rFonts w:ascii="Cambria Math" w:hAnsi="Cambria Math"/>
                  <w:i/>
                  <w:color w:val="auto"/>
                </w:rPr>
              </m:ctrlPr>
            </m:dPr>
            <m:e>
              <m:sSup>
                <m:sSupPr>
                  <m:ctrlPr>
                    <w:rPr>
                      <w:rFonts w:ascii="Cambria Math" w:hAnsi="Cambria Math"/>
                      <w:i/>
                      <w:color w:val="auto"/>
                    </w:rPr>
                  </m:ctrlPr>
                </m:sSupPr>
                <m:e>
                  <m:d>
                    <m:dPr>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Valor de Venda</m:t>
                          </m:r>
                        </m:num>
                        <m:den>
                          <m:r>
                            <w:rPr>
                              <w:rFonts w:ascii="Cambria Math" w:hAnsi="Cambria Math"/>
                              <w:color w:val="auto"/>
                            </w:rPr>
                            <m:t>Valor de Compra</m:t>
                          </m:r>
                        </m:den>
                      </m:f>
                    </m:e>
                  </m:d>
                </m:e>
                <m:sup>
                  <m:f>
                    <m:fPr>
                      <m:ctrlPr>
                        <w:rPr>
                          <w:rFonts w:ascii="Cambria Math" w:hAnsi="Cambria Math"/>
                          <w:i/>
                          <w:color w:val="auto"/>
                        </w:rPr>
                      </m:ctrlPr>
                    </m:fPr>
                    <m:num>
                      <m:r>
                        <w:rPr>
                          <w:rFonts w:ascii="Cambria Math" w:hAnsi="Cambria Math"/>
                          <w:color w:val="auto"/>
                        </w:rPr>
                        <m:t>252</m:t>
                      </m:r>
                    </m:num>
                    <m:den>
                      <m:r>
                        <w:rPr>
                          <w:rFonts w:ascii="Cambria Math" w:hAnsi="Cambria Math"/>
                          <w:color w:val="auto"/>
                        </w:rPr>
                        <m:t>dias úteis no período</m:t>
                      </m:r>
                    </m:den>
                  </m:f>
                </m:sup>
              </m:sSup>
              <m:r>
                <w:rPr>
                  <w:rFonts w:ascii="Cambria Math" w:hAnsi="Cambria Math"/>
                  <w:color w:val="auto"/>
                </w:rPr>
                <m:t>-1</m:t>
              </m:r>
            </m:e>
          </m:d>
          <m:r>
            <w:rPr>
              <w:rFonts w:ascii="Cambria Math" w:hAnsi="Cambria Math"/>
              <w:color w:val="auto"/>
            </w:rPr>
            <m:t>*100</m:t>
          </m:r>
        </m:oMath>
      </m:oMathPara>
    </w:p>
    <w:p w:rsidR="005005B1" w:rsidRPr="006E3C42" w:rsidRDefault="005005B1" w:rsidP="005005B1">
      <w:pPr>
        <w:rPr>
          <w:color w:val="auto"/>
        </w:rPr>
      </w:pPr>
      <w:r w:rsidRPr="006E3C42">
        <w:rPr>
          <w:color w:val="auto"/>
        </w:rPr>
        <w:t>Onde:</w:t>
      </w:r>
    </w:p>
    <w:p w:rsidR="005005B1" w:rsidRPr="006E3C42" w:rsidRDefault="005005B1" w:rsidP="00B829E0">
      <w:pPr>
        <w:ind w:left="1134"/>
        <w:rPr>
          <w:rFonts w:eastAsiaTheme="minorEastAsia"/>
          <w:color w:val="auto"/>
        </w:rPr>
      </w:pPr>
      <m:oMath>
        <m:r>
          <w:rPr>
            <w:rFonts w:ascii="Cambria Math" w:hAnsi="Cambria Math"/>
            <w:color w:val="auto"/>
          </w:rPr>
          <m:t>Taxa Efetiva no Período</m:t>
        </m:r>
      </m:oMath>
      <w:r w:rsidRPr="006E3C42">
        <w:rPr>
          <w:rFonts w:eastAsiaTheme="minorEastAsia"/>
          <w:color w:val="auto"/>
        </w:rPr>
        <w:t xml:space="preserve"> = Taxa negociada no momento da compra</w:t>
      </w:r>
    </w:p>
    <w:p w:rsidR="005005B1" w:rsidRPr="006E3C42" w:rsidRDefault="005005B1" w:rsidP="00B829E0">
      <w:pPr>
        <w:ind w:left="1134"/>
        <w:rPr>
          <w:rFonts w:eastAsiaTheme="minorEastAsia"/>
          <w:color w:val="auto"/>
        </w:rPr>
      </w:pPr>
      <m:oMath>
        <m:r>
          <w:rPr>
            <w:rFonts w:ascii="Cambria Math" w:eastAsiaTheme="minorEastAsia" w:hAnsi="Cambria Math"/>
            <w:color w:val="auto"/>
          </w:rPr>
          <m:t>Valor de Venda</m:t>
        </m:r>
      </m:oMath>
      <w:r w:rsidRPr="006E3C42">
        <w:rPr>
          <w:rFonts w:eastAsiaTheme="minorEastAsia"/>
          <w:color w:val="auto"/>
        </w:rPr>
        <w:t xml:space="preserve"> = Valor de negociação do Título Público na data final</w:t>
      </w:r>
    </w:p>
    <w:p w:rsidR="005005B1" w:rsidRPr="006E3C42" w:rsidRDefault="005005B1" w:rsidP="00B829E0">
      <w:pPr>
        <w:ind w:left="1134"/>
        <w:rPr>
          <w:rFonts w:eastAsiaTheme="minorEastAsia"/>
          <w:color w:val="auto"/>
        </w:rPr>
      </w:pPr>
      <m:oMath>
        <m:r>
          <w:rPr>
            <w:rFonts w:ascii="Cambria Math" w:eastAsiaTheme="minorEastAsia" w:hAnsi="Cambria Math"/>
            <w:color w:val="auto"/>
          </w:rPr>
          <m:t>Valor de Compra</m:t>
        </m:r>
      </m:oMath>
      <w:r w:rsidRPr="006E3C42">
        <w:rPr>
          <w:rFonts w:eastAsiaTheme="minorEastAsia"/>
          <w:color w:val="auto"/>
        </w:rPr>
        <w:t xml:space="preserve"> = Valor de negociação do Título na aquisição</w:t>
      </w:r>
    </w:p>
    <w:p w:rsidR="00002414" w:rsidRPr="006E3C42" w:rsidRDefault="00002414" w:rsidP="00BF442A">
      <w:pPr>
        <w:spacing w:after="240"/>
        <w:rPr>
          <w:b/>
          <w:i/>
          <w:color w:val="auto"/>
        </w:rPr>
      </w:pPr>
      <w:r w:rsidRPr="006E3C42">
        <w:rPr>
          <w:b/>
          <w:i/>
          <w:color w:val="auto"/>
        </w:rPr>
        <w:lastRenderedPageBreak/>
        <w:t>Tesouro Prefixado com Juros Semestrais – NTN-F</w:t>
      </w:r>
    </w:p>
    <w:p w:rsidR="00002414" w:rsidRPr="006E3C42" w:rsidRDefault="004F4596" w:rsidP="00002414">
      <w:pPr>
        <w:rPr>
          <w:color w:val="auto"/>
        </w:rPr>
      </w:pPr>
      <w:r w:rsidRPr="006E3C42">
        <w:rPr>
          <w:color w:val="auto"/>
        </w:rPr>
        <w:t>Na NTN-F ocorre uma situação semelhante a NTN-B, com pagamentos semestrais de juros só que com a taxa pré-fixada e pagamento do último cupom ocorre no vencimento do título, juntamente com o resgate do valor de face.</w:t>
      </w:r>
    </w:p>
    <w:p w:rsidR="00362EC1" w:rsidRPr="006E3C42" w:rsidRDefault="00362EC1" w:rsidP="00002414">
      <w:pPr>
        <w:rPr>
          <w:color w:val="auto"/>
        </w:rPr>
      </w:pPr>
      <w:r w:rsidRPr="006E3C42">
        <w:rPr>
          <w:color w:val="auto"/>
        </w:rPr>
        <w:t>A rentabilidade do Tesouro Pré-fixado com Juros Semestrais pode ser calculada segundo a equação:</w:t>
      </w:r>
    </w:p>
    <w:p w:rsidR="00062EFA" w:rsidRPr="006E3C42" w:rsidRDefault="00062EFA" w:rsidP="00002414">
      <w:pPr>
        <w:rPr>
          <w:rFonts w:eastAsiaTheme="minorEastAsia"/>
          <w:color w:val="auto"/>
        </w:rPr>
      </w:pPr>
      <m:oMathPara>
        <m:oMath>
          <m:r>
            <w:rPr>
              <w:rFonts w:ascii="Cambria Math" w:hAnsi="Cambria Math"/>
              <w:color w:val="auto"/>
            </w:rPr>
            <m:t xml:space="preserve">Preço= </m:t>
          </m:r>
          <m:nary>
            <m:naryPr>
              <m:chr m:val="∑"/>
              <m:limLoc m:val="undOvr"/>
              <m:ctrlPr>
                <w:rPr>
                  <w:rFonts w:ascii="Cambria Math" w:hAnsi="Cambria Math"/>
                  <w:i/>
                  <w:color w:val="auto"/>
                </w:rPr>
              </m:ctrlPr>
            </m:naryPr>
            <m:sub>
              <m:r>
                <w:rPr>
                  <w:rFonts w:ascii="Cambria Math" w:hAnsi="Cambria Math"/>
                  <w:color w:val="auto"/>
                </w:rPr>
                <m:t>i=1</m:t>
              </m:r>
            </m:sub>
            <m:sup>
              <m:r>
                <w:rPr>
                  <w:rFonts w:ascii="Cambria Math" w:hAnsi="Cambria Math"/>
                  <w:color w:val="auto"/>
                </w:rPr>
                <m:t>n</m:t>
              </m:r>
            </m:sup>
            <m:e>
              <m:r>
                <w:rPr>
                  <w:rFonts w:ascii="Cambria Math" w:hAnsi="Cambria Math"/>
                  <w:color w:val="auto"/>
                </w:rPr>
                <m:t xml:space="preserve">1.000* </m:t>
              </m:r>
              <m:d>
                <m:dPr>
                  <m:begChr m:val="["/>
                  <m:endChr m:val="]"/>
                  <m:ctrlPr>
                    <w:rPr>
                      <w:rFonts w:ascii="Cambria Math" w:hAnsi="Cambria Math"/>
                      <w:i/>
                      <w:color w:val="auto"/>
                    </w:rPr>
                  </m:ctrlPr>
                </m:dPr>
                <m:e>
                  <m:f>
                    <m:fPr>
                      <m:ctrlPr>
                        <w:rPr>
                          <w:rFonts w:ascii="Cambria Math" w:hAnsi="Cambria Math"/>
                          <w:i/>
                          <w:color w:val="auto"/>
                        </w:rPr>
                      </m:ctrlPr>
                    </m:fPr>
                    <m:num>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1,10</m:t>
                              </m:r>
                            </m:e>
                          </m:d>
                        </m:e>
                        <m:sup>
                          <m:r>
                            <w:rPr>
                              <w:rFonts w:ascii="Cambria Math" w:hAnsi="Cambria Math"/>
                              <w:color w:val="auto"/>
                            </w:rPr>
                            <m:t>0,5</m:t>
                          </m:r>
                        </m:sup>
                      </m:sSup>
                      <m:r>
                        <w:rPr>
                          <w:rFonts w:ascii="Cambria Math" w:hAnsi="Cambria Math"/>
                          <w:color w:val="auto"/>
                        </w:rPr>
                        <m:t>-1</m:t>
                      </m:r>
                    </m:num>
                    <m:den>
                      <m:sSup>
                        <m:sSupPr>
                          <m:ctrlPr>
                            <w:rPr>
                              <w:rFonts w:ascii="Cambria Math" w:hAnsi="Cambria Math"/>
                              <w:i/>
                              <w:color w:val="auto"/>
                            </w:rPr>
                          </m:ctrlPr>
                        </m:sSupPr>
                        <m:e>
                          <m:r>
                            <w:rPr>
                              <w:rFonts w:ascii="Cambria Math" w:hAnsi="Cambria Math"/>
                              <w:color w:val="auto"/>
                            </w:rPr>
                            <m:t>(1+TIR)</m:t>
                          </m:r>
                        </m:e>
                        <m:sup>
                          <m:f>
                            <m:fPr>
                              <m:ctrlPr>
                                <w:rPr>
                                  <w:rFonts w:ascii="Cambria Math" w:hAnsi="Cambria Math"/>
                                  <w:i/>
                                  <w:color w:val="auto"/>
                                </w:rPr>
                              </m:ctrlPr>
                            </m:fPr>
                            <m:num>
                              <m:r>
                                <w:rPr>
                                  <w:rFonts w:ascii="Cambria Math" w:hAnsi="Cambria Math"/>
                                  <w:color w:val="auto"/>
                                </w:rPr>
                                <m:t>DUn</m:t>
                              </m:r>
                            </m:num>
                            <m:den>
                              <m:r>
                                <w:rPr>
                                  <w:rFonts w:ascii="Cambria Math" w:hAnsi="Cambria Math"/>
                                  <w:color w:val="auto"/>
                                </w:rPr>
                                <m:t>252</m:t>
                              </m:r>
                            </m:den>
                          </m:f>
                        </m:sup>
                      </m:sSup>
                    </m:den>
                  </m:f>
                </m:e>
              </m:d>
            </m:e>
          </m:nary>
          <m:r>
            <w:rPr>
              <w:rFonts w:ascii="Cambria Math" w:hAnsi="Cambria Math"/>
              <w:color w:val="auto"/>
            </w:rPr>
            <m:t xml:space="preserve">+1.000* </m:t>
          </m:r>
          <m:d>
            <m:dPr>
              <m:begChr m:val="["/>
              <m:endChr m:val="]"/>
              <m:ctrlPr>
                <w:rPr>
                  <w:rFonts w:ascii="Cambria Math" w:hAnsi="Cambria Math"/>
                  <w:i/>
                  <w:color w:val="auto"/>
                </w:rPr>
              </m:ctrlPr>
            </m:dPr>
            <m:e>
              <m:f>
                <m:fPr>
                  <m:ctrlPr>
                    <w:rPr>
                      <w:rFonts w:ascii="Cambria Math" w:hAnsi="Cambria Math"/>
                      <w:i/>
                      <w:color w:val="auto"/>
                    </w:rPr>
                  </m:ctrlPr>
                </m:fPr>
                <m:num>
                  <m:r>
                    <w:rPr>
                      <w:rFonts w:ascii="Cambria Math" w:hAnsi="Cambria Math"/>
                      <w:color w:val="auto"/>
                    </w:rPr>
                    <m:t>1</m:t>
                  </m:r>
                </m:num>
                <m:den>
                  <m:sSup>
                    <m:sSupPr>
                      <m:ctrlPr>
                        <w:rPr>
                          <w:rFonts w:ascii="Cambria Math" w:hAnsi="Cambria Math"/>
                          <w:i/>
                          <w:color w:val="auto"/>
                        </w:rPr>
                      </m:ctrlPr>
                    </m:sSupPr>
                    <m:e>
                      <m:r>
                        <w:rPr>
                          <w:rFonts w:ascii="Cambria Math" w:hAnsi="Cambria Math"/>
                          <w:color w:val="auto"/>
                        </w:rPr>
                        <m:t>(1+TIR)</m:t>
                      </m:r>
                    </m:e>
                    <m:sup>
                      <m:f>
                        <m:fPr>
                          <m:ctrlPr>
                            <w:rPr>
                              <w:rFonts w:ascii="Cambria Math" w:hAnsi="Cambria Math"/>
                              <w:i/>
                              <w:color w:val="auto"/>
                            </w:rPr>
                          </m:ctrlPr>
                        </m:fPr>
                        <m:num>
                          <m:r>
                            <w:rPr>
                              <w:rFonts w:ascii="Cambria Math" w:hAnsi="Cambria Math"/>
                              <w:color w:val="auto"/>
                            </w:rPr>
                            <m:t>DUn</m:t>
                          </m:r>
                        </m:num>
                        <m:den>
                          <m:r>
                            <w:rPr>
                              <w:rFonts w:ascii="Cambria Math" w:hAnsi="Cambria Math"/>
                              <w:color w:val="auto"/>
                            </w:rPr>
                            <m:t>252</m:t>
                          </m:r>
                        </m:den>
                      </m:f>
                    </m:sup>
                  </m:sSup>
                </m:den>
              </m:f>
            </m:e>
          </m:d>
        </m:oMath>
      </m:oMathPara>
    </w:p>
    <w:p w:rsidR="00062EFA" w:rsidRPr="006E3C42" w:rsidRDefault="00062EFA" w:rsidP="00002414">
      <w:pPr>
        <w:rPr>
          <w:color w:val="auto"/>
        </w:rPr>
      </w:pPr>
      <w:r w:rsidRPr="006E3C42">
        <w:rPr>
          <w:color w:val="auto"/>
        </w:rPr>
        <w:t xml:space="preserve">Em que </w:t>
      </w:r>
      <w:proofErr w:type="spellStart"/>
      <w:r w:rsidRPr="006E3C42">
        <w:rPr>
          <w:color w:val="auto"/>
        </w:rPr>
        <w:t>DU</w:t>
      </w:r>
      <w:r w:rsidRPr="006E3C42">
        <w:rPr>
          <w:i/>
          <w:color w:val="auto"/>
        </w:rPr>
        <w:t>n</w:t>
      </w:r>
      <w:proofErr w:type="spellEnd"/>
      <w:r w:rsidRPr="006E3C42">
        <w:rPr>
          <w:color w:val="auto"/>
        </w:rPr>
        <w:t xml:space="preserve"> é o número de dias úteis do período e TIR é a rentabilidade anual do título.</w:t>
      </w:r>
    </w:p>
    <w:p w:rsidR="00E430FC" w:rsidRPr="006E3C42" w:rsidRDefault="00E430FC" w:rsidP="00BF442A">
      <w:pPr>
        <w:spacing w:after="240"/>
        <w:rPr>
          <w:b/>
          <w:i/>
          <w:color w:val="auto"/>
        </w:rPr>
      </w:pPr>
      <w:r w:rsidRPr="006E3C42">
        <w:rPr>
          <w:b/>
          <w:i/>
          <w:color w:val="auto"/>
        </w:rPr>
        <w:t>Tesouro IGPM com Juros Semestrais – NTN-C</w:t>
      </w:r>
    </w:p>
    <w:p w:rsidR="00E430FC" w:rsidRPr="006E3C42" w:rsidRDefault="00E430FC" w:rsidP="00E430FC">
      <w:pPr>
        <w:rPr>
          <w:color w:val="auto"/>
        </w:rPr>
      </w:pPr>
      <w:r w:rsidRPr="006E3C42">
        <w:rPr>
          <w:color w:val="auto"/>
        </w:rPr>
        <w:t>A NTN-C tem funcionamento parecido com NTN-B, com a diferença no indexador, pois utiliza o IGP-M ao invés de IPCA. Atualmente, as NTN-C não são ofertadas no Tesouro Direto sendo apenas recomprado pelo Tesouro Nacional.</w:t>
      </w:r>
    </w:p>
    <w:p w:rsidR="00E430FC" w:rsidRPr="006E3C42" w:rsidRDefault="00E430FC" w:rsidP="00E430FC">
      <w:pPr>
        <w:rPr>
          <w:color w:val="auto"/>
        </w:rPr>
      </w:pPr>
      <w:r w:rsidRPr="006E3C42">
        <w:rPr>
          <w:color w:val="auto"/>
        </w:rPr>
        <w:t>O VNA desse título pode ser calculado pela equação</w:t>
      </w:r>
      <w:r w:rsidR="00BF442A" w:rsidRPr="006E3C42">
        <w:rPr>
          <w:color w:val="auto"/>
        </w:rPr>
        <w:t>:</w:t>
      </w:r>
    </w:p>
    <w:p w:rsidR="00BF442A" w:rsidRPr="006E3C42" w:rsidRDefault="00BF442A" w:rsidP="00BF442A">
      <w:pPr>
        <w:spacing w:after="240"/>
        <w:rPr>
          <w:rFonts w:eastAsiaTheme="minorEastAsia"/>
          <w:i/>
          <w:color w:val="auto"/>
        </w:rPr>
      </w:pPr>
      <m:oMathPara>
        <m:oMath>
          <m:r>
            <w:rPr>
              <w:rFonts w:ascii="Cambria Math" w:hAnsi="Cambria Math"/>
              <w:color w:val="auto"/>
            </w:rPr>
            <m:t>VNA=</m:t>
          </m:r>
          <m:sSub>
            <m:sSubPr>
              <m:ctrlPr>
                <w:rPr>
                  <w:rFonts w:ascii="Cambria Math" w:hAnsi="Cambria Math"/>
                  <w:i/>
                  <w:color w:val="auto"/>
                </w:rPr>
              </m:ctrlPr>
            </m:sSubPr>
            <m:e>
              <m:r>
                <w:rPr>
                  <w:rFonts w:ascii="Cambria Math" w:hAnsi="Cambria Math"/>
                  <w:color w:val="auto"/>
                </w:rPr>
                <m:t>VNA</m:t>
              </m:r>
            </m:e>
            <m:sub>
              <m:r>
                <w:rPr>
                  <w:rFonts w:ascii="Cambria Math" w:hAnsi="Cambria Math"/>
                  <w:color w:val="auto"/>
                </w:rPr>
                <m:t>data de compra</m:t>
              </m:r>
            </m:sub>
          </m:sSub>
          <m:r>
            <w:rPr>
              <w:rFonts w:ascii="Cambria Math" w:hAnsi="Cambria Math"/>
              <w:color w:val="auto"/>
            </w:rPr>
            <m:t>*</m:t>
          </m:r>
          <m:sSup>
            <m:sSupPr>
              <m:ctrlPr>
                <w:rPr>
                  <w:rFonts w:ascii="Cambria Math" w:hAnsi="Cambria Math"/>
                  <w:i/>
                  <w:color w:val="auto"/>
                </w:rPr>
              </m:ctrlPr>
            </m:sSupPr>
            <m:e>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IGPM</m:t>
                      </m:r>
                    </m:e>
                    <m:sub>
                      <m:r>
                        <w:rPr>
                          <w:rFonts w:ascii="Cambria Math" w:hAnsi="Cambria Math"/>
                          <w:color w:val="auto"/>
                        </w:rPr>
                        <m:t>projetado</m:t>
                      </m:r>
                    </m:sub>
                  </m:sSub>
                </m:e>
              </m:d>
            </m:e>
            <m:sup>
              <m:r>
                <w:rPr>
                  <w:rFonts w:ascii="Cambria Math" w:hAnsi="Cambria Math"/>
                  <w:color w:val="auto"/>
                </w:rPr>
                <m:t>N1/N2</m:t>
              </m:r>
            </m:sup>
          </m:sSup>
        </m:oMath>
      </m:oMathPara>
    </w:p>
    <w:p w:rsidR="00BF442A" w:rsidRPr="006E3C42" w:rsidRDefault="00BF442A" w:rsidP="00E430FC">
      <w:pPr>
        <w:rPr>
          <w:color w:val="auto"/>
        </w:rPr>
      </w:pPr>
      <w:r w:rsidRPr="006E3C42">
        <w:rPr>
          <w:color w:val="auto"/>
        </w:rPr>
        <w:t>Onde N1 representa o número de dias corridos entre data de liquidação e primeiro do mês atual e N2 sendo o número de dias corridos entre o dia primeiro do mês seguinte e o primeiro mês atual.</w:t>
      </w:r>
    </w:p>
    <w:p w:rsidR="00802D06" w:rsidRPr="006E3C42" w:rsidRDefault="00802D06" w:rsidP="00E430FC">
      <w:pPr>
        <w:rPr>
          <w:color w:val="auto"/>
        </w:rPr>
      </w:pPr>
      <w:r w:rsidRPr="006E3C42">
        <w:rPr>
          <w:color w:val="auto"/>
        </w:rPr>
        <w:t>Como metodologia final de apuração para os Títulos Públicos que apresentam o valor nominal atualizado, finaliza-se a apuraç</w:t>
      </w:r>
      <w:r w:rsidR="00190244" w:rsidRPr="006E3C42">
        <w:rPr>
          <w:color w:val="auto"/>
        </w:rPr>
        <w:t>ão nos</w:t>
      </w:r>
      <w:r w:rsidRPr="006E3C42">
        <w:rPr>
          <w:color w:val="auto"/>
        </w:rPr>
        <w:t xml:space="preserve"> seguinte</w:t>
      </w:r>
      <w:r w:rsidR="00190244" w:rsidRPr="006E3C42">
        <w:rPr>
          <w:color w:val="auto"/>
        </w:rPr>
        <w:t>s passos</w:t>
      </w:r>
      <w:r w:rsidRPr="006E3C42">
        <w:rPr>
          <w:color w:val="auto"/>
        </w:rPr>
        <w:t>:</w:t>
      </w:r>
    </w:p>
    <w:p w:rsidR="00190244" w:rsidRPr="006E3C42" w:rsidRDefault="00190244" w:rsidP="00E430FC">
      <w:pPr>
        <w:rPr>
          <w:color w:val="auto"/>
        </w:rPr>
      </w:pPr>
      <w:r w:rsidRPr="006E3C42">
        <w:rPr>
          <w:color w:val="auto"/>
        </w:rPr>
        <w:t>(i) identificação da cotação:</w:t>
      </w:r>
    </w:p>
    <w:p w:rsidR="00802D06" w:rsidRPr="006E3C42" w:rsidRDefault="00190244" w:rsidP="00E430FC">
      <w:pPr>
        <w:rPr>
          <w:rFonts w:eastAsiaTheme="minorEastAsia"/>
          <w:color w:val="auto"/>
        </w:rPr>
      </w:pPr>
      <m:oMathPara>
        <m:oMath>
          <m:r>
            <w:rPr>
              <w:rFonts w:ascii="Cambria Math" w:hAnsi="Cambria Math"/>
              <w:color w:val="auto"/>
            </w:rPr>
            <m:t xml:space="preserve">Cotação= </m:t>
          </m:r>
          <m:f>
            <m:fPr>
              <m:ctrlPr>
                <w:rPr>
                  <w:rFonts w:ascii="Cambria Math" w:hAnsi="Cambria Math"/>
                  <w:i/>
                  <w:color w:val="auto"/>
                </w:rPr>
              </m:ctrlPr>
            </m:fPr>
            <m:num>
              <m:r>
                <w:rPr>
                  <w:rFonts w:ascii="Cambria Math" w:hAnsi="Cambria Math"/>
                  <w:color w:val="auto"/>
                </w:rPr>
                <m:t>100</m:t>
              </m:r>
            </m:num>
            <m:den>
              <m:sSup>
                <m:sSupPr>
                  <m:ctrlPr>
                    <w:rPr>
                      <w:rFonts w:ascii="Cambria Math" w:hAnsi="Cambria Math"/>
                      <w:i/>
                      <w:color w:val="auto"/>
                    </w:rPr>
                  </m:ctrlPr>
                </m:sSupPr>
                <m:e>
                  <m:r>
                    <w:rPr>
                      <w:rFonts w:ascii="Cambria Math" w:hAnsi="Cambria Math"/>
                      <w:color w:val="auto"/>
                    </w:rPr>
                    <m:t>(1+Taxa)</m:t>
                  </m:r>
                </m:e>
                <m:sup>
                  <m:f>
                    <m:fPr>
                      <m:ctrlPr>
                        <w:rPr>
                          <w:rFonts w:ascii="Cambria Math" w:hAnsi="Cambria Math"/>
                          <w:i/>
                          <w:color w:val="auto"/>
                        </w:rPr>
                      </m:ctrlPr>
                    </m:fPr>
                    <m:num>
                      <m:r>
                        <w:rPr>
                          <w:rFonts w:ascii="Cambria Math" w:hAnsi="Cambria Math"/>
                          <w:color w:val="auto"/>
                        </w:rPr>
                        <m:t>DU</m:t>
                      </m:r>
                    </m:num>
                    <m:den>
                      <m:r>
                        <w:rPr>
                          <w:rFonts w:ascii="Cambria Math" w:hAnsi="Cambria Math"/>
                          <w:color w:val="auto"/>
                        </w:rPr>
                        <m:t>252</m:t>
                      </m:r>
                    </m:den>
                  </m:f>
                </m:sup>
              </m:sSup>
            </m:den>
          </m:f>
        </m:oMath>
      </m:oMathPara>
    </w:p>
    <w:p w:rsidR="00190244" w:rsidRPr="006E3C42" w:rsidRDefault="00190244" w:rsidP="00E430FC">
      <w:pPr>
        <w:rPr>
          <w:rFonts w:eastAsiaTheme="minorEastAsia"/>
          <w:color w:val="auto"/>
        </w:rPr>
      </w:pPr>
      <w:r w:rsidRPr="006E3C42">
        <w:rPr>
          <w:rFonts w:eastAsiaTheme="minorEastAsia"/>
          <w:color w:val="auto"/>
        </w:rPr>
        <w:t>Onde:</w:t>
      </w:r>
    </w:p>
    <w:p w:rsidR="00190244" w:rsidRPr="006E3C42" w:rsidRDefault="00190244" w:rsidP="00B829E0">
      <w:pPr>
        <w:ind w:left="1134"/>
        <w:rPr>
          <w:rFonts w:eastAsiaTheme="minorEastAsia"/>
          <w:color w:val="auto"/>
        </w:rPr>
      </w:pPr>
      <m:oMath>
        <m:r>
          <w:rPr>
            <w:rFonts w:ascii="Cambria Math" w:hAnsi="Cambria Math"/>
            <w:color w:val="auto"/>
          </w:rPr>
          <m:t>Cotação</m:t>
        </m:r>
      </m:oMath>
      <w:r w:rsidRPr="006E3C42">
        <w:rPr>
          <w:rFonts w:eastAsiaTheme="minorEastAsia"/>
          <w:color w:val="auto"/>
        </w:rPr>
        <w:t xml:space="preserve"> = é o valor unitário apresentado em um dia</w:t>
      </w:r>
    </w:p>
    <w:p w:rsidR="00190244" w:rsidRPr="006E3C42" w:rsidRDefault="00190244" w:rsidP="00B829E0">
      <w:pPr>
        <w:ind w:left="1134"/>
        <w:rPr>
          <w:rFonts w:eastAsiaTheme="minorEastAsia"/>
          <w:color w:val="auto"/>
        </w:rPr>
      </w:pPr>
      <m:oMath>
        <m:r>
          <w:rPr>
            <w:rFonts w:ascii="Cambria Math" w:eastAsiaTheme="minorEastAsia" w:hAnsi="Cambria Math"/>
            <w:color w:val="auto"/>
          </w:rPr>
          <m:t>Taxa</m:t>
        </m:r>
      </m:oMath>
      <w:r w:rsidRPr="006E3C42">
        <w:rPr>
          <w:rFonts w:eastAsiaTheme="minorEastAsia"/>
          <w:color w:val="auto"/>
        </w:rPr>
        <w:t xml:space="preserve"> = taxa de negociação ou compra o Título Público Federal</w:t>
      </w:r>
    </w:p>
    <w:p w:rsidR="00190244" w:rsidRPr="006E3C42" w:rsidRDefault="00190244" w:rsidP="00190244">
      <w:pPr>
        <w:rPr>
          <w:color w:val="auto"/>
        </w:rPr>
      </w:pPr>
      <w:r w:rsidRPr="006E3C42">
        <w:rPr>
          <w:color w:val="auto"/>
        </w:rPr>
        <w:t>(</w:t>
      </w:r>
      <w:proofErr w:type="spellStart"/>
      <w:r w:rsidRPr="006E3C42">
        <w:rPr>
          <w:color w:val="auto"/>
        </w:rPr>
        <w:t>ii</w:t>
      </w:r>
      <w:proofErr w:type="spellEnd"/>
      <w:r w:rsidRPr="006E3C42">
        <w:rPr>
          <w:color w:val="auto"/>
        </w:rPr>
        <w:t>) identificação do preço atual:</w:t>
      </w:r>
    </w:p>
    <w:p w:rsidR="00190244" w:rsidRPr="006E3C42" w:rsidRDefault="00190244" w:rsidP="00190244">
      <w:pPr>
        <w:rPr>
          <w:rFonts w:eastAsiaTheme="minorEastAsia"/>
          <w:color w:val="auto"/>
        </w:rPr>
      </w:pPr>
      <m:oMathPara>
        <m:oMathParaPr>
          <m:jc m:val="center"/>
        </m:oMathParaPr>
        <m:oMath>
          <m:r>
            <w:rPr>
              <w:rFonts w:ascii="Cambria Math" w:eastAsiaTheme="minorEastAsia" w:hAnsi="Cambria Math"/>
              <w:color w:val="auto"/>
            </w:rPr>
            <m:t xml:space="preserve">Preço= VNA* </m:t>
          </m:r>
          <m:d>
            <m:dPr>
              <m:begChr m:val="["/>
              <m:endChr m:val="]"/>
              <m:ctrlPr>
                <w:rPr>
                  <w:rFonts w:ascii="Cambria Math" w:eastAsiaTheme="minorEastAsia" w:hAnsi="Cambria Math"/>
                  <w:i/>
                  <w:color w:val="auto"/>
                </w:rPr>
              </m:ctrlPr>
            </m:dPr>
            <m:e>
              <m:f>
                <m:fPr>
                  <m:ctrlPr>
                    <w:rPr>
                      <w:rFonts w:ascii="Cambria Math" w:eastAsiaTheme="minorEastAsia" w:hAnsi="Cambria Math"/>
                      <w:i/>
                      <w:color w:val="auto"/>
                    </w:rPr>
                  </m:ctrlPr>
                </m:fPr>
                <m:num>
                  <m:r>
                    <w:rPr>
                      <w:rFonts w:ascii="Cambria Math" w:eastAsiaTheme="minorEastAsia" w:hAnsi="Cambria Math"/>
                      <w:color w:val="auto"/>
                    </w:rPr>
                    <m:t>Cotação</m:t>
                  </m:r>
                </m:num>
                <m:den>
                  <m:r>
                    <w:rPr>
                      <w:rFonts w:ascii="Cambria Math" w:eastAsiaTheme="minorEastAsia" w:hAnsi="Cambria Math"/>
                      <w:color w:val="auto"/>
                    </w:rPr>
                    <m:t>100</m:t>
                  </m:r>
                </m:den>
              </m:f>
            </m:e>
          </m:d>
        </m:oMath>
      </m:oMathPara>
    </w:p>
    <w:p w:rsidR="00190244" w:rsidRPr="006E3C42" w:rsidRDefault="00190244" w:rsidP="00190244">
      <w:pPr>
        <w:rPr>
          <w:rFonts w:eastAsiaTheme="minorEastAsia"/>
          <w:color w:val="auto"/>
        </w:rPr>
      </w:pPr>
      <w:r w:rsidRPr="006E3C42">
        <w:rPr>
          <w:rFonts w:eastAsiaTheme="minorEastAsia"/>
          <w:color w:val="auto"/>
        </w:rPr>
        <w:t>Onde:</w:t>
      </w:r>
    </w:p>
    <w:p w:rsidR="00190244" w:rsidRPr="006E3C42" w:rsidRDefault="00190244" w:rsidP="00B829E0">
      <w:pPr>
        <w:ind w:left="1134"/>
        <w:rPr>
          <w:rFonts w:eastAsiaTheme="minorEastAsia"/>
          <w:color w:val="auto"/>
        </w:rPr>
      </w:pPr>
      <m:oMath>
        <m:r>
          <w:rPr>
            <w:rFonts w:ascii="Cambria Math" w:eastAsiaTheme="minorEastAsia" w:hAnsi="Cambria Math"/>
            <w:color w:val="auto"/>
          </w:rPr>
          <m:t>Preço</m:t>
        </m:r>
      </m:oMath>
      <w:r w:rsidRPr="006E3C42">
        <w:rPr>
          <w:rFonts w:eastAsiaTheme="minorEastAsia"/>
          <w:color w:val="auto"/>
        </w:rPr>
        <w:t xml:space="preserve"> = valor unitário do Título Público Federal</w:t>
      </w:r>
    </w:p>
    <w:p w:rsidR="00190244" w:rsidRPr="006E3C42" w:rsidRDefault="00190244" w:rsidP="00B829E0">
      <w:pPr>
        <w:ind w:left="1134"/>
        <w:rPr>
          <w:rFonts w:eastAsiaTheme="minorEastAsia"/>
          <w:color w:val="auto"/>
        </w:rPr>
      </w:pPr>
      <m:oMath>
        <m:r>
          <w:rPr>
            <w:rFonts w:ascii="Cambria Math" w:hAnsi="Cambria Math"/>
            <w:color w:val="auto"/>
          </w:rPr>
          <m:t>VNA</m:t>
        </m:r>
      </m:oMath>
      <w:r w:rsidRPr="006E3C42">
        <w:rPr>
          <w:rFonts w:eastAsiaTheme="minorEastAsia"/>
          <w:color w:val="auto"/>
        </w:rPr>
        <w:t xml:space="preserve"> = Valor Nominal Atualizado</w:t>
      </w:r>
    </w:p>
    <w:p w:rsidR="00190244" w:rsidRPr="006E3C42" w:rsidRDefault="00190244" w:rsidP="00B829E0">
      <w:pPr>
        <w:ind w:left="1134"/>
        <w:rPr>
          <w:rFonts w:eastAsiaTheme="minorEastAsia"/>
          <w:color w:val="auto"/>
        </w:rPr>
      </w:pPr>
      <m:oMath>
        <m:r>
          <w:rPr>
            <w:rFonts w:ascii="Cambria Math" w:hAnsi="Cambria Math"/>
            <w:color w:val="auto"/>
          </w:rPr>
          <m:t>Cotação</m:t>
        </m:r>
      </m:oMath>
      <w:r w:rsidRPr="006E3C42">
        <w:rPr>
          <w:rFonts w:eastAsiaTheme="minorEastAsia"/>
          <w:color w:val="auto"/>
        </w:rPr>
        <w:t xml:space="preserve"> = é o valor unitário apresentado em um dia</w:t>
      </w:r>
    </w:p>
    <w:p w:rsidR="00C13039" w:rsidRPr="006E3C42" w:rsidRDefault="00197355" w:rsidP="00AB69A3">
      <w:pPr>
        <w:pStyle w:val="Ttulo3"/>
        <w:spacing w:after="240"/>
        <w:rPr>
          <w:color w:val="auto"/>
        </w:rPr>
      </w:pPr>
      <w:bookmarkStart w:id="121" w:name="_Toc521592811"/>
      <w:r w:rsidRPr="006E3C42">
        <w:rPr>
          <w:color w:val="auto"/>
        </w:rPr>
        <w:t>FUNDOS DE INVESTIMENTOS</w:t>
      </w:r>
      <w:bookmarkEnd w:id="121"/>
    </w:p>
    <w:p w:rsidR="00D13FB8" w:rsidRPr="006E3C42" w:rsidRDefault="003F24F1" w:rsidP="003F24F1">
      <w:pPr>
        <w:rPr>
          <w:color w:val="auto"/>
        </w:rPr>
      </w:pPr>
      <w:r w:rsidRPr="006E3C42">
        <w:rPr>
          <w:color w:val="auto"/>
        </w:rPr>
        <w:t>A Instrução CVM 555 dispõe sobre a constituição, a administração, o funcionamento e a divulgação de informações dos fundos de investimento.</w:t>
      </w:r>
    </w:p>
    <w:p w:rsidR="003F24F1" w:rsidRPr="006E3C42" w:rsidRDefault="003F24F1" w:rsidP="003F24F1">
      <w:pPr>
        <w:rPr>
          <w:color w:val="auto"/>
        </w:rPr>
      </w:pPr>
      <w:r w:rsidRPr="006E3C42">
        <w:rPr>
          <w:color w:val="auto"/>
        </w:rPr>
        <w:t>O investimento em um fundo de investimento, portanto, confere domínio direto sobre fração ideal do patrimônio dado que cada cotista possui propriedade proporcional dos ativos inerentes à composição de cada fundo, sendo inteiramente responsável pelo ônus ou bônus dessa propriedade.</w:t>
      </w:r>
    </w:p>
    <w:p w:rsidR="003F24F1" w:rsidRPr="006E3C42" w:rsidRDefault="00D13FB8" w:rsidP="003F24F1">
      <w:pPr>
        <w:rPr>
          <w:color w:val="auto"/>
        </w:rPr>
      </w:pPr>
      <w:r w:rsidRPr="006E3C42">
        <w:rPr>
          <w:color w:val="auto"/>
        </w:rPr>
        <w:lastRenderedPageBreak/>
        <w:t>Através de divulgação pública e oficial, calcula-se o retorno do fundo de investimentos auferindo o rendimento do período, multiplicado pelo valor atual. Abaixo segue fórmula:</w:t>
      </w:r>
    </w:p>
    <w:p w:rsidR="00D13FB8" w:rsidRPr="006E3C42" w:rsidRDefault="00D13FB8" w:rsidP="003F24F1">
      <w:pPr>
        <w:rPr>
          <w:rFonts w:eastAsiaTheme="minorEastAsia"/>
          <w:color w:val="auto"/>
        </w:rPr>
      </w:pPr>
      <m:oMathPara>
        <m:oMath>
          <m:r>
            <w:rPr>
              <w:rFonts w:ascii="Cambria Math" w:hAnsi="Cambria Math"/>
              <w:color w:val="auto"/>
            </w:rPr>
            <m:t>retorno=</m:t>
          </m:r>
          <m:d>
            <m:dPr>
              <m:ctrlPr>
                <w:rPr>
                  <w:rFonts w:ascii="Cambria Math" w:hAnsi="Cambria Math"/>
                  <w:i/>
                  <w:color w:val="auto"/>
                </w:rPr>
              </m:ctrlPr>
            </m:dPr>
            <m:e>
              <m:r>
                <w:rPr>
                  <w:rFonts w:ascii="Cambria Math" w:hAnsi="Cambria Math"/>
                  <w:color w:val="auto"/>
                </w:rPr>
                <m:t>1+</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anterior</m:t>
                  </m:r>
                </m:sub>
              </m:sSub>
            </m:e>
          </m:d>
          <m:r>
            <w:rPr>
              <w:rFonts w:ascii="Cambria Math" w:hAnsi="Cambria Math"/>
              <w:color w:val="auto"/>
            </w:rPr>
            <m:t>* Ren</m:t>
          </m:r>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fundo</m:t>
              </m:r>
            </m:sub>
          </m:sSub>
        </m:oMath>
      </m:oMathPara>
    </w:p>
    <w:p w:rsidR="00D13FB8" w:rsidRPr="006E3C42" w:rsidRDefault="00D13FB8" w:rsidP="003F24F1">
      <w:pPr>
        <w:rPr>
          <w:rFonts w:eastAsiaTheme="minorEastAsia"/>
          <w:color w:val="auto"/>
        </w:rPr>
      </w:pPr>
      <w:r w:rsidRPr="006E3C42">
        <w:rPr>
          <w:rFonts w:eastAsiaTheme="minorEastAsia"/>
          <w:color w:val="auto"/>
        </w:rPr>
        <w:t>Onde:</w:t>
      </w:r>
    </w:p>
    <w:p w:rsidR="00D13FB8" w:rsidRPr="006E3C42" w:rsidRDefault="00D13FB8" w:rsidP="003F24F1">
      <w:pPr>
        <w:rPr>
          <w:rFonts w:eastAsiaTheme="minorEastAsia"/>
          <w:color w:val="auto"/>
        </w:rPr>
      </w:pPr>
      <w:r w:rsidRPr="006E3C42">
        <w:rPr>
          <w:rFonts w:eastAsiaTheme="minorEastAsia"/>
          <w:color w:val="auto"/>
        </w:rPr>
        <w:t>Retorno: valor da diferente do montante aportado e o resultado final do período</w:t>
      </w:r>
    </w:p>
    <w:p w:rsidR="00D13FB8" w:rsidRPr="006E3C42" w:rsidRDefault="006E3C42" w:rsidP="00B829E0">
      <w:pPr>
        <w:ind w:left="1134"/>
        <w:rPr>
          <w:rFonts w:eastAsiaTheme="minorEastAsia"/>
          <w:color w:val="auto"/>
        </w:rPr>
      </w:pPr>
      <m:oMath>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anterior</m:t>
            </m:r>
          </m:sub>
        </m:sSub>
      </m:oMath>
      <w:r w:rsidR="00D13FB8" w:rsidRPr="006E3C42">
        <w:rPr>
          <w:rFonts w:eastAsiaTheme="minorEastAsia"/>
          <w:color w:val="auto"/>
        </w:rPr>
        <w:t xml:space="preserve"> </w:t>
      </w:r>
      <w:r w:rsidR="00B137CF" w:rsidRPr="006E3C42">
        <w:rPr>
          <w:rFonts w:eastAsiaTheme="minorEastAsia"/>
          <w:color w:val="auto"/>
        </w:rPr>
        <w:t>: s</w:t>
      </w:r>
      <w:r w:rsidR="00D13FB8" w:rsidRPr="006E3C42">
        <w:rPr>
          <w:rFonts w:eastAsiaTheme="minorEastAsia"/>
          <w:color w:val="auto"/>
        </w:rPr>
        <w:t>aldo inicial do investimento</w:t>
      </w:r>
    </w:p>
    <w:p w:rsidR="00D13FB8" w:rsidRPr="006E3C42" w:rsidRDefault="00D13FB8" w:rsidP="00B829E0">
      <w:pPr>
        <w:ind w:left="1134"/>
        <w:rPr>
          <w:rFonts w:eastAsiaTheme="minorEastAsia"/>
          <w:color w:val="auto"/>
        </w:rPr>
      </w:pPr>
      <m:oMath>
        <m:r>
          <w:rPr>
            <w:rFonts w:ascii="Cambria Math" w:hAnsi="Cambria Math"/>
            <w:color w:val="auto"/>
          </w:rPr>
          <m:t>Ren</m:t>
        </m:r>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fundo</m:t>
            </m:r>
          </m:sub>
        </m:sSub>
      </m:oMath>
      <w:r w:rsidRPr="006E3C42">
        <w:rPr>
          <w:rFonts w:eastAsiaTheme="minorEastAsia"/>
          <w:color w:val="auto"/>
        </w:rPr>
        <w:t xml:space="preserve"> </w:t>
      </w:r>
      <w:r w:rsidR="00B137CF" w:rsidRPr="006E3C42">
        <w:rPr>
          <w:rFonts w:eastAsiaTheme="minorEastAsia"/>
          <w:color w:val="auto"/>
        </w:rPr>
        <w:t>: r</w:t>
      </w:r>
      <w:r w:rsidRPr="006E3C42">
        <w:rPr>
          <w:rFonts w:eastAsiaTheme="minorEastAsia"/>
          <w:color w:val="auto"/>
        </w:rPr>
        <w:t>endimento do fundo de investimento em um determinado período (em percentual)</w:t>
      </w:r>
    </w:p>
    <w:p w:rsidR="00D13FB8" w:rsidRPr="006E3C42" w:rsidRDefault="00D13FB8" w:rsidP="003F24F1">
      <w:pPr>
        <w:rPr>
          <w:rFonts w:eastAsiaTheme="minorEastAsia"/>
          <w:color w:val="auto"/>
        </w:rPr>
      </w:pPr>
      <w:r w:rsidRPr="006E3C42">
        <w:rPr>
          <w:rFonts w:eastAsiaTheme="minorEastAsia"/>
          <w:color w:val="auto"/>
        </w:rPr>
        <w:t xml:space="preserve">Para auferir o valor aportado no </w:t>
      </w:r>
      <w:r w:rsidR="00E32297" w:rsidRPr="006E3C42">
        <w:rPr>
          <w:rFonts w:eastAsiaTheme="minorEastAsia"/>
          <w:color w:val="auto"/>
        </w:rPr>
        <w:t>fundo</w:t>
      </w:r>
      <w:r w:rsidRPr="006E3C42">
        <w:rPr>
          <w:rFonts w:eastAsiaTheme="minorEastAsia"/>
          <w:color w:val="auto"/>
        </w:rPr>
        <w:t xml:space="preserve"> de investimento quanto a sua posição em relação a quantidade de cotas, calcula-se:</w:t>
      </w:r>
    </w:p>
    <w:p w:rsidR="00D13FB8" w:rsidRPr="006E3C42" w:rsidRDefault="006E3C42" w:rsidP="00D13FB8">
      <w:pPr>
        <w:spacing w:before="240"/>
        <w:rPr>
          <w:rFonts w:eastAsiaTheme="minorEastAsia"/>
          <w:color w:val="auto"/>
        </w:rPr>
      </w:pPr>
      <m:oMathPara>
        <m:oMath>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atual</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cota</m:t>
              </m:r>
            </m:sub>
          </m:sSub>
          <m:r>
            <w:rPr>
              <w:rFonts w:ascii="Cambria Math" w:eastAsiaTheme="minorEastAsia" w:hAnsi="Cambria Math"/>
              <w:color w:val="auto"/>
            </w:rPr>
            <m:t>*Q</m:t>
          </m:r>
          <m:sSub>
            <m:sSubPr>
              <m:ctrlPr>
                <w:rPr>
                  <w:rFonts w:ascii="Cambria Math" w:eastAsiaTheme="minorEastAsia" w:hAnsi="Cambria Math"/>
                  <w:i/>
                  <w:color w:val="auto"/>
                </w:rPr>
              </m:ctrlPr>
            </m:sSubPr>
            <m:e>
              <m:r>
                <w:rPr>
                  <w:rFonts w:ascii="Cambria Math" w:eastAsiaTheme="minorEastAsia" w:hAnsi="Cambria Math"/>
                  <w:color w:val="auto"/>
                </w:rPr>
                <m:t>t</m:t>
              </m:r>
            </m:e>
            <m:sub>
              <m:r>
                <w:rPr>
                  <w:rFonts w:ascii="Cambria Math" w:eastAsiaTheme="minorEastAsia" w:hAnsi="Cambria Math"/>
                  <w:color w:val="auto"/>
                </w:rPr>
                <m:t>cotas</m:t>
              </m:r>
            </m:sub>
          </m:sSub>
        </m:oMath>
      </m:oMathPara>
    </w:p>
    <w:p w:rsidR="00D13FB8" w:rsidRPr="006E3C42" w:rsidRDefault="00D13FB8" w:rsidP="00D13FB8">
      <w:pPr>
        <w:spacing w:before="240"/>
        <w:rPr>
          <w:rFonts w:eastAsiaTheme="minorEastAsia"/>
          <w:color w:val="auto"/>
        </w:rPr>
      </w:pPr>
      <w:r w:rsidRPr="006E3C42">
        <w:rPr>
          <w:rFonts w:eastAsiaTheme="minorEastAsia"/>
          <w:color w:val="auto"/>
        </w:rPr>
        <w:t>Onde:</w:t>
      </w:r>
    </w:p>
    <w:p w:rsidR="00D13FB8" w:rsidRPr="006E3C42" w:rsidRDefault="006E3C42" w:rsidP="00B829E0">
      <w:pPr>
        <w:spacing w:before="240"/>
        <w:ind w:left="1701"/>
        <w:jc w:val="left"/>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atual</m:t>
            </m:r>
          </m:sub>
        </m:sSub>
      </m:oMath>
      <w:r w:rsidR="00D13FB8" w:rsidRPr="006E3C42">
        <w:rPr>
          <w:rFonts w:eastAsiaTheme="minorEastAsia"/>
          <w:color w:val="auto"/>
        </w:rPr>
        <w:t xml:space="preserve"> : valor </w:t>
      </w:r>
      <w:r w:rsidR="00B137CF" w:rsidRPr="006E3C42">
        <w:rPr>
          <w:rFonts w:eastAsiaTheme="minorEastAsia"/>
          <w:color w:val="auto"/>
        </w:rPr>
        <w:t>atual do investimento</w:t>
      </w:r>
    </w:p>
    <w:p w:rsidR="00B137CF" w:rsidRPr="006E3C42" w:rsidRDefault="006E3C42" w:rsidP="00B829E0">
      <w:pPr>
        <w:spacing w:before="240"/>
        <w:ind w:left="1701"/>
        <w:jc w:val="left"/>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V</m:t>
            </m:r>
          </m:e>
          <m:sub>
            <m:r>
              <w:rPr>
                <w:rFonts w:ascii="Cambria Math" w:eastAsiaTheme="minorEastAsia" w:hAnsi="Cambria Math"/>
                <w:color w:val="auto"/>
              </w:rPr>
              <m:t>cota</m:t>
            </m:r>
          </m:sub>
        </m:sSub>
      </m:oMath>
      <w:r w:rsidR="00B137CF" w:rsidRPr="006E3C42">
        <w:rPr>
          <w:rFonts w:eastAsiaTheme="minorEastAsia"/>
          <w:color w:val="auto"/>
        </w:rPr>
        <w:t xml:space="preserve"> : valor da cota no dia</w:t>
      </w:r>
    </w:p>
    <w:p w:rsidR="00B137CF" w:rsidRPr="006E3C42" w:rsidRDefault="00B137CF" w:rsidP="00B829E0">
      <w:pPr>
        <w:spacing w:before="240"/>
        <w:ind w:left="1701"/>
        <w:jc w:val="left"/>
        <w:rPr>
          <w:rFonts w:eastAsiaTheme="minorEastAsia"/>
          <w:color w:val="auto"/>
        </w:rPr>
      </w:pPr>
      <m:oMath>
        <m:r>
          <w:rPr>
            <w:rFonts w:ascii="Cambria Math" w:eastAsiaTheme="minorEastAsia" w:hAnsi="Cambria Math"/>
            <w:color w:val="auto"/>
          </w:rPr>
          <m:t>Q</m:t>
        </m:r>
        <m:sSub>
          <m:sSubPr>
            <m:ctrlPr>
              <w:rPr>
                <w:rFonts w:ascii="Cambria Math" w:eastAsiaTheme="minorEastAsia" w:hAnsi="Cambria Math"/>
                <w:i/>
                <w:color w:val="auto"/>
              </w:rPr>
            </m:ctrlPr>
          </m:sSubPr>
          <m:e>
            <m:r>
              <w:rPr>
                <w:rFonts w:ascii="Cambria Math" w:eastAsiaTheme="minorEastAsia" w:hAnsi="Cambria Math"/>
                <w:color w:val="auto"/>
              </w:rPr>
              <m:t>t</m:t>
            </m:r>
          </m:e>
          <m:sub>
            <m:r>
              <w:rPr>
                <w:rFonts w:ascii="Cambria Math" w:eastAsiaTheme="minorEastAsia" w:hAnsi="Cambria Math"/>
                <w:color w:val="auto"/>
              </w:rPr>
              <m:t>cotas</m:t>
            </m:r>
          </m:sub>
        </m:sSub>
      </m:oMath>
      <w:r w:rsidRPr="006E3C42">
        <w:rPr>
          <w:rFonts w:eastAsiaTheme="minorEastAsia"/>
          <w:color w:val="auto"/>
        </w:rPr>
        <w:t xml:space="preserve"> : quantidade de cotas adquiridas mediante aporte no fundo de investimento</w:t>
      </w:r>
    </w:p>
    <w:p w:rsidR="00CA71C8" w:rsidRPr="006E3C42" w:rsidRDefault="00CA71C8" w:rsidP="00D13FB8">
      <w:pPr>
        <w:spacing w:before="240"/>
        <w:rPr>
          <w:rFonts w:eastAsiaTheme="minorEastAsia"/>
          <w:i/>
          <w:color w:val="auto"/>
        </w:rPr>
      </w:pPr>
      <w:r w:rsidRPr="006E3C42">
        <w:rPr>
          <w:rFonts w:eastAsiaTheme="minorEastAsia"/>
          <w:color w:val="auto"/>
        </w:rPr>
        <w:t xml:space="preserve">Em caso de fundos de investimento imobiliários (FII), onde consta </w:t>
      </w:r>
      <w:r w:rsidR="00EF71C5" w:rsidRPr="006E3C42">
        <w:rPr>
          <w:rFonts w:eastAsiaTheme="minorEastAsia"/>
          <w:color w:val="auto"/>
        </w:rPr>
        <w:t xml:space="preserve">ao menos uma </w:t>
      </w:r>
      <w:r w:rsidRPr="006E3C42">
        <w:rPr>
          <w:rFonts w:eastAsiaTheme="minorEastAsia"/>
          <w:color w:val="auto"/>
        </w:rPr>
        <w:t xml:space="preserve">negociação de compra e venda no mercado secundário através de seu </w:t>
      </w:r>
      <w:proofErr w:type="spellStart"/>
      <w:r w:rsidRPr="006E3C42">
        <w:rPr>
          <w:rFonts w:eastAsiaTheme="minorEastAsia"/>
          <w:i/>
          <w:color w:val="auto"/>
        </w:rPr>
        <w:t>ticker</w:t>
      </w:r>
      <w:proofErr w:type="spellEnd"/>
      <w:r w:rsidRPr="006E3C42">
        <w:rPr>
          <w:rFonts w:eastAsiaTheme="minorEastAsia"/>
          <w:i/>
          <w:color w:val="auto"/>
        </w:rPr>
        <w:t xml:space="preserve">; </w:t>
      </w:r>
      <w:r w:rsidRPr="006E3C42">
        <w:rPr>
          <w:rFonts w:eastAsiaTheme="minorEastAsia"/>
          <w:color w:val="auto"/>
        </w:rPr>
        <w:t xml:space="preserve">esse será calculado através </w:t>
      </w:r>
      <w:r w:rsidR="00EF71C5" w:rsidRPr="006E3C42">
        <w:rPr>
          <w:rFonts w:eastAsiaTheme="minorEastAsia"/>
          <w:color w:val="auto"/>
        </w:rPr>
        <w:t xml:space="preserve">do valor de mercado divulgado no site do </w:t>
      </w:r>
      <w:r w:rsidR="00EF71C5" w:rsidRPr="006E3C42">
        <w:rPr>
          <w:color w:val="auto"/>
        </w:rPr>
        <w:t>BM&amp;FBOVESPA; caso contrário, será calculado a valor de cota, através de divulgado no site da Comissão de Valores Mobiliários – CVM.</w:t>
      </w:r>
    </w:p>
    <w:p w:rsidR="00C13039" w:rsidRPr="006E3C42" w:rsidRDefault="00AB69A3" w:rsidP="00AB69A3">
      <w:pPr>
        <w:pStyle w:val="Ttulo3"/>
        <w:spacing w:after="240"/>
        <w:rPr>
          <w:color w:val="auto"/>
        </w:rPr>
      </w:pPr>
      <w:bookmarkStart w:id="122" w:name="_Toc521592812"/>
      <w:r w:rsidRPr="006E3C42">
        <w:rPr>
          <w:color w:val="auto"/>
        </w:rPr>
        <w:t>TÍTULOS PRIVADOS</w:t>
      </w:r>
      <w:bookmarkEnd w:id="122"/>
    </w:p>
    <w:p w:rsidR="00AB69A3" w:rsidRPr="006E3C42" w:rsidRDefault="00AB69A3" w:rsidP="00AB69A3">
      <w:pPr>
        <w:rPr>
          <w:color w:val="auto"/>
        </w:rPr>
      </w:pPr>
      <w:r w:rsidRPr="006E3C42">
        <w:rPr>
          <w:color w:val="auto"/>
        </w:rPr>
        <w:t>Título privados são títulos emitidos por empresas privadas visando à captação de recursos.</w:t>
      </w:r>
    </w:p>
    <w:p w:rsidR="001C4846" w:rsidRPr="006E3C42" w:rsidRDefault="001C4846" w:rsidP="00AB69A3">
      <w:pPr>
        <w:rPr>
          <w:color w:val="auto"/>
        </w:rPr>
      </w:pPr>
      <w:r w:rsidRPr="006E3C42">
        <w:rPr>
          <w:color w:val="auto"/>
        </w:rPr>
        <w:t xml:space="preserve">As operações compromissadas lastreadas em títulos públicos são operações de compra (venda) com compromisso de revenda (recompra). Na partida da operação são definidas a taxa de remuneração e a data de vencimento da operação. Para as operações compromissadas sem liquidez diária, a marcação a mercado será em acordo com as taxas praticadas pelo emissor para o prazo do título e, adicionalmente, um </w:t>
      </w:r>
      <w:r w:rsidRPr="006E3C42">
        <w:rPr>
          <w:i/>
          <w:color w:val="auto"/>
        </w:rPr>
        <w:t>spread</w:t>
      </w:r>
      <w:r w:rsidRPr="006E3C42">
        <w:rPr>
          <w:color w:val="auto"/>
        </w:rPr>
        <w:t xml:space="preserve"> da natureza da operação. Para as operações compromissadas negociadas com liquidez diária, a marcação a mercado será realizada com base na taxa de revenda/recompra na data.</w:t>
      </w:r>
    </w:p>
    <w:p w:rsidR="00A13FFF" w:rsidRPr="006E3C42" w:rsidRDefault="00A13FFF" w:rsidP="00AB69A3">
      <w:pPr>
        <w:rPr>
          <w:color w:val="auto"/>
        </w:rPr>
      </w:pPr>
      <w:r w:rsidRPr="006E3C42">
        <w:rPr>
          <w:color w:val="auto"/>
        </w:rPr>
        <w:t>Os certificados de depósito bancário (CDBs) são instrumentos de captação de recursos utilizados por instituições financeiras, os quais pagam ao aplicador, ao final do prazo contratado, a remuneração prevista, que em geral é flutuante ou pré-fixada, podendo ser emitidos e registrados na CETIP.</w:t>
      </w:r>
    </w:p>
    <w:p w:rsidR="00A13FFF" w:rsidRPr="006E3C42" w:rsidRDefault="00A13FFF" w:rsidP="00AB69A3">
      <w:pPr>
        <w:rPr>
          <w:color w:val="auto"/>
        </w:rPr>
      </w:pPr>
      <w:r w:rsidRPr="006E3C42">
        <w:rPr>
          <w:color w:val="auto"/>
        </w:rPr>
        <w:t xml:space="preserve">Os CDBs pré-fixados são títulos negociados com ágio/deságio em relação à curva de juros em reais. A marcação do CDB é realizada descontando o seu valor futuro pela taxa pré-fixada de mercado acrescida do </w:t>
      </w:r>
      <w:r w:rsidRPr="006E3C42">
        <w:rPr>
          <w:i/>
          <w:color w:val="auto"/>
        </w:rPr>
        <w:t>spread</w:t>
      </w:r>
      <w:r w:rsidRPr="006E3C42">
        <w:rPr>
          <w:color w:val="auto"/>
        </w:rPr>
        <w:t xml:space="preserve"> definido de acordo com as bandas de taxas referentes ao prazo da operação e rating do emissor.</w:t>
      </w:r>
    </w:p>
    <w:p w:rsidR="00A13FFF" w:rsidRPr="006E3C42" w:rsidRDefault="00A13FFF" w:rsidP="00AB69A3">
      <w:pPr>
        <w:rPr>
          <w:color w:val="auto"/>
        </w:rPr>
      </w:pPr>
      <w:r w:rsidRPr="006E3C42">
        <w:rPr>
          <w:color w:val="auto"/>
        </w:rPr>
        <w:t xml:space="preserve">Os CDBs pós-fixados são títulos atualizados diariamente pelo CDI, ou seja, pela taxa de juros baseada na taxa média dos depósitos interbancários de um dia, calculada e divulgada pela CETIP. Geralmente, o CDI é acrescido de uma taxa ou por percentual </w:t>
      </w:r>
      <w:r w:rsidRPr="006E3C42">
        <w:rPr>
          <w:i/>
          <w:color w:val="auto"/>
        </w:rPr>
        <w:t>spread</w:t>
      </w:r>
      <w:r w:rsidRPr="006E3C42">
        <w:rPr>
          <w:color w:val="auto"/>
        </w:rPr>
        <w:t xml:space="preserve"> contratado na data de emissão do papel. A marcação do CDB é realizada descontando o seu valor futuro projetado pela taxa pré-fixada de mercado acrescida do spread definido de acordo com as faixas de taxas em vigor.</w:t>
      </w:r>
    </w:p>
    <w:p w:rsidR="00AB69A3" w:rsidRPr="006E3C42" w:rsidRDefault="00A13FFF" w:rsidP="00A13FFF">
      <w:pPr>
        <w:pStyle w:val="Ttulo3"/>
        <w:spacing w:after="240"/>
        <w:rPr>
          <w:color w:val="auto"/>
        </w:rPr>
      </w:pPr>
      <w:bookmarkStart w:id="123" w:name="_Toc521592813"/>
      <w:r w:rsidRPr="006E3C42">
        <w:rPr>
          <w:color w:val="auto"/>
        </w:rPr>
        <w:lastRenderedPageBreak/>
        <w:t>POUPANÇA</w:t>
      </w:r>
      <w:bookmarkEnd w:id="123"/>
    </w:p>
    <w:p w:rsidR="00A13FFF" w:rsidRPr="006E3C42" w:rsidRDefault="00ED11E8" w:rsidP="00AB69A3">
      <w:pPr>
        <w:spacing w:after="240"/>
        <w:rPr>
          <w:color w:val="auto"/>
        </w:rPr>
      </w:pPr>
      <w:r w:rsidRPr="006E3C42">
        <w:rPr>
          <w:color w:val="auto"/>
        </w:rPr>
        <w:t xml:space="preserve">Para método de apuração para os investimentos em depósitos de poupança, calcula-se a taxa referencial usada no dia do depósito. Se a Selic estiver em 8,5% ao ano ou menos do que isso, a poupança irá render 70% da Selic mais a TR. Já no caso </w:t>
      </w:r>
      <w:proofErr w:type="gramStart"/>
      <w:r w:rsidRPr="006E3C42">
        <w:rPr>
          <w:color w:val="auto"/>
        </w:rPr>
        <w:t>da</w:t>
      </w:r>
      <w:proofErr w:type="gramEnd"/>
      <w:r w:rsidRPr="006E3C42">
        <w:rPr>
          <w:color w:val="auto"/>
        </w:rPr>
        <w:t xml:space="preserve"> Selic ficar acima de 8,5% ao ano, a rentabilidade é composta pela TR mais 0,5% ao mês.</w:t>
      </w:r>
    </w:p>
    <w:p w:rsidR="0050706A" w:rsidRPr="006E3C42" w:rsidRDefault="0050706A" w:rsidP="00226B7B">
      <w:pPr>
        <w:pStyle w:val="Ttulo2"/>
        <w:rPr>
          <w:color w:val="auto"/>
        </w:rPr>
      </w:pPr>
      <w:bookmarkStart w:id="124" w:name="_Toc521592814"/>
      <w:r w:rsidRPr="006E3C42">
        <w:rPr>
          <w:color w:val="auto"/>
        </w:rPr>
        <w:t>FONTES</w:t>
      </w:r>
      <w:r w:rsidR="007740D7" w:rsidRPr="006E3C42">
        <w:rPr>
          <w:color w:val="auto"/>
        </w:rPr>
        <w:t xml:space="preserve"> PRIMÁRIAS DE INFORMAÇÕES</w:t>
      </w:r>
      <w:bookmarkEnd w:id="124"/>
    </w:p>
    <w:p w:rsidR="007740D7" w:rsidRPr="006E3C42" w:rsidRDefault="007740D7" w:rsidP="00134F10">
      <w:pPr>
        <w:rPr>
          <w:color w:val="auto"/>
        </w:rPr>
      </w:pPr>
      <w:r w:rsidRPr="006E3C42">
        <w:rPr>
          <w:color w:val="auto"/>
        </w:rPr>
        <w:t>Como os procedimentos de marcação a mercado são diários, como norma e sempre que possível, adotam-se preços e cotações das seguintes fontes:</w:t>
      </w:r>
    </w:p>
    <w:p w:rsidR="007740D7" w:rsidRPr="006E3C42" w:rsidRDefault="007740D7" w:rsidP="00134F10">
      <w:pPr>
        <w:pStyle w:val="PargrafodaLista"/>
        <w:numPr>
          <w:ilvl w:val="0"/>
          <w:numId w:val="24"/>
        </w:numPr>
        <w:rPr>
          <w:color w:val="auto"/>
        </w:rPr>
      </w:pPr>
      <w:r w:rsidRPr="006E3C42">
        <w:rPr>
          <w:color w:val="auto"/>
        </w:rPr>
        <w:t>Títulos Públicos Federais e debentures: Taxas Indicativas da ANBIMA</w:t>
      </w:r>
      <w:r w:rsidR="00DE6AEC" w:rsidRPr="006E3C42">
        <w:rPr>
          <w:color w:val="auto"/>
        </w:rPr>
        <w:t xml:space="preserve"> – Associação Brasileira das Entidades dos Mercados Financeiros e de Capitais</w:t>
      </w:r>
      <w:r w:rsidR="009A7648" w:rsidRPr="006E3C42">
        <w:rPr>
          <w:color w:val="auto"/>
        </w:rPr>
        <w:t xml:space="preserve"> (http://www.anbima.com.br/pt_br/index.htm);</w:t>
      </w:r>
    </w:p>
    <w:p w:rsidR="00DE6AEC" w:rsidRPr="006E3C42" w:rsidRDefault="00DE6AEC" w:rsidP="00132C38">
      <w:pPr>
        <w:pStyle w:val="PargrafodaLista"/>
        <w:rPr>
          <w:color w:val="auto"/>
        </w:rPr>
      </w:pPr>
    </w:p>
    <w:p w:rsidR="00DE6AEC" w:rsidRPr="006E3C42" w:rsidRDefault="007740D7" w:rsidP="00132C38">
      <w:pPr>
        <w:pStyle w:val="PargrafodaLista"/>
        <w:numPr>
          <w:ilvl w:val="0"/>
          <w:numId w:val="24"/>
        </w:numPr>
        <w:rPr>
          <w:color w:val="auto"/>
        </w:rPr>
      </w:pPr>
      <w:r w:rsidRPr="006E3C42">
        <w:rPr>
          <w:color w:val="auto"/>
        </w:rPr>
        <w:t>C</w:t>
      </w:r>
      <w:r w:rsidR="00DE6AEC" w:rsidRPr="006E3C42">
        <w:rPr>
          <w:color w:val="auto"/>
        </w:rPr>
        <w:t>otas de fundos de investimentos: Comissão de Valores Mobiliários – CVM</w:t>
      </w:r>
      <w:r w:rsidR="009A7648" w:rsidRPr="006E3C42">
        <w:rPr>
          <w:color w:val="auto"/>
        </w:rPr>
        <w:t xml:space="preserve"> (</w:t>
      </w:r>
      <w:r w:rsidR="00C95BFC" w:rsidRPr="006E3C42">
        <w:rPr>
          <w:color w:val="auto"/>
        </w:rPr>
        <w:t>http://www.cvm.gov.br/</w:t>
      </w:r>
      <w:r w:rsidR="009A7648" w:rsidRPr="006E3C42">
        <w:rPr>
          <w:color w:val="auto"/>
        </w:rPr>
        <w:t>)</w:t>
      </w:r>
      <w:r w:rsidR="00DE6AEC" w:rsidRPr="006E3C42">
        <w:rPr>
          <w:color w:val="auto"/>
        </w:rPr>
        <w:t>;</w:t>
      </w:r>
    </w:p>
    <w:p w:rsidR="00C95BFC" w:rsidRPr="006E3C42" w:rsidRDefault="00C95BFC" w:rsidP="00C95BFC">
      <w:pPr>
        <w:pStyle w:val="PargrafodaLista"/>
        <w:rPr>
          <w:color w:val="auto"/>
        </w:rPr>
      </w:pPr>
    </w:p>
    <w:p w:rsidR="00C95BFC" w:rsidRPr="006E3C42" w:rsidRDefault="00C95BFC" w:rsidP="00927762">
      <w:pPr>
        <w:pStyle w:val="PargrafodaLista"/>
        <w:numPr>
          <w:ilvl w:val="0"/>
          <w:numId w:val="24"/>
        </w:numPr>
        <w:rPr>
          <w:color w:val="auto"/>
        </w:rPr>
      </w:pPr>
      <w:r w:rsidRPr="006E3C42">
        <w:rPr>
          <w:color w:val="auto"/>
        </w:rPr>
        <w:t xml:space="preserve">Valor Nominal Atualizado: </w:t>
      </w:r>
      <w:r w:rsidR="00927762" w:rsidRPr="006E3C42">
        <w:rPr>
          <w:color w:val="auto"/>
        </w:rPr>
        <w:t>Valor Nominal Atualizado ANBIMA - Associação Brasileira das Entidades dos Mercados Financeiros e de Capitais (http://www.anbima.com.br/vna/vna.asp)</w:t>
      </w:r>
    </w:p>
    <w:p w:rsidR="00DE6AEC" w:rsidRPr="006E3C42" w:rsidRDefault="00DE6AEC" w:rsidP="00132C38">
      <w:pPr>
        <w:pStyle w:val="PargrafodaLista"/>
        <w:rPr>
          <w:color w:val="auto"/>
        </w:rPr>
      </w:pPr>
    </w:p>
    <w:p w:rsidR="007740D7" w:rsidRPr="006E3C42" w:rsidRDefault="007740D7" w:rsidP="00132C38">
      <w:pPr>
        <w:pStyle w:val="PargrafodaLista"/>
        <w:numPr>
          <w:ilvl w:val="0"/>
          <w:numId w:val="24"/>
        </w:numPr>
        <w:rPr>
          <w:color w:val="auto"/>
        </w:rPr>
      </w:pPr>
      <w:r w:rsidRPr="006E3C42">
        <w:rPr>
          <w:color w:val="auto"/>
        </w:rPr>
        <w:t>Ações, opções sobre ações líquidas e termo de ações: BM&amp;FBOVESPA</w:t>
      </w:r>
      <w:r w:rsidR="009A7648" w:rsidRPr="006E3C42">
        <w:rPr>
          <w:color w:val="auto"/>
        </w:rPr>
        <w:t xml:space="preserve"> (</w:t>
      </w:r>
      <w:r w:rsidR="00132C38" w:rsidRPr="006E3C42">
        <w:rPr>
          <w:color w:val="auto"/>
        </w:rPr>
        <w:t>http://www.bmfbovespa.com.br/pt_br/)</w:t>
      </w:r>
      <w:r w:rsidR="00DE6AEC" w:rsidRPr="006E3C42">
        <w:rPr>
          <w:color w:val="auto"/>
        </w:rPr>
        <w:t>; e</w:t>
      </w:r>
    </w:p>
    <w:p w:rsidR="00DE6AEC" w:rsidRPr="006E3C42" w:rsidRDefault="00DE6AEC" w:rsidP="00132C38">
      <w:pPr>
        <w:pStyle w:val="PargrafodaLista"/>
        <w:rPr>
          <w:color w:val="auto"/>
        </w:rPr>
      </w:pPr>
    </w:p>
    <w:p w:rsidR="00B60B7D" w:rsidRPr="006E3C42" w:rsidRDefault="00DE6AEC" w:rsidP="00AC33CD">
      <w:pPr>
        <w:pStyle w:val="PargrafodaLista"/>
        <w:numPr>
          <w:ilvl w:val="0"/>
          <w:numId w:val="24"/>
        </w:numPr>
        <w:rPr>
          <w:color w:val="auto"/>
        </w:rPr>
      </w:pPr>
      <w:r w:rsidRPr="006E3C42">
        <w:rPr>
          <w:color w:val="auto"/>
        </w:rPr>
        <w:t>Certificado de Depósito Bancário – CDB: CETIP</w:t>
      </w:r>
      <w:r w:rsidR="00C95BFC" w:rsidRPr="006E3C42">
        <w:rPr>
          <w:color w:val="auto"/>
        </w:rPr>
        <w:t xml:space="preserve"> (https://www.cetip.com.br/).</w:t>
      </w:r>
    </w:p>
    <w:p w:rsidR="006B0FB7" w:rsidRPr="006E3C42" w:rsidRDefault="006B0FB7" w:rsidP="008815C6">
      <w:pPr>
        <w:pStyle w:val="Ttulo1"/>
        <w:spacing w:after="240"/>
        <w:rPr>
          <w:color w:val="auto"/>
        </w:rPr>
      </w:pPr>
      <w:bookmarkStart w:id="125" w:name="_Toc521592815"/>
      <w:r w:rsidRPr="006E3C42">
        <w:rPr>
          <w:color w:val="auto"/>
        </w:rPr>
        <w:t>C</w:t>
      </w:r>
      <w:bookmarkEnd w:id="113"/>
      <w:r w:rsidRPr="006E3C42">
        <w:rPr>
          <w:color w:val="auto"/>
        </w:rPr>
        <w:t>ONTROLES INTERNOS</w:t>
      </w:r>
      <w:bookmarkEnd w:id="114"/>
      <w:bookmarkEnd w:id="115"/>
      <w:bookmarkEnd w:id="125"/>
    </w:p>
    <w:p w:rsidR="006B0FB7" w:rsidRPr="006E3C42" w:rsidRDefault="006B0FB7" w:rsidP="008815C6">
      <w:pPr>
        <w:spacing w:beforeLines="120" w:before="288" w:after="240" w:line="240" w:lineRule="auto"/>
        <w:rPr>
          <w:bCs/>
          <w:color w:val="auto"/>
          <w:szCs w:val="20"/>
        </w:rPr>
      </w:pPr>
      <w:r w:rsidRPr="006E3C42">
        <w:rPr>
          <w:bCs/>
          <w:color w:val="auto"/>
          <w:szCs w:val="20"/>
        </w:rPr>
        <w:t>Antes das aplicações, a gestão do RPPS deverá verificar, no mínimo, aspectos como: enquadramento do produto quanto às exigências legais, seu histórico de rentabilidade, riscos e perspectiva de rentabilidade satisfatória no horizonte de tempo.</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Todos os ativos e valores mobiliários adquiridos pelo RPPS deverão ser registrados nos Sistemas de Liquidação e Custódia: SELIC, CETIP ou Câmaras de Compensação autorizadas pela CVM. </w:t>
      </w:r>
    </w:p>
    <w:p w:rsidR="006B0FB7" w:rsidRPr="006E3C42" w:rsidRDefault="006B0FB7" w:rsidP="006B0FB7">
      <w:pPr>
        <w:spacing w:beforeLines="120" w:before="288" w:after="0" w:line="240" w:lineRule="auto"/>
        <w:rPr>
          <w:bCs/>
          <w:color w:val="auto"/>
          <w:szCs w:val="20"/>
        </w:rPr>
      </w:pPr>
      <w:r w:rsidRPr="006E3C42">
        <w:rPr>
          <w:bCs/>
          <w:color w:val="auto"/>
          <w:szCs w:val="20"/>
        </w:rPr>
        <w:t>A gestão do RPPS sempre fará a comparação dos investimentos com a sua meta atuarial para identificar aqueles com rentabilidade insatisfatória, ou inadequação ao cenário econômico, visando possíveis indicações de solicitação de resgate.</w:t>
      </w:r>
    </w:p>
    <w:p w:rsidR="006B0FB7" w:rsidRPr="006E3C42" w:rsidRDefault="006B0FB7" w:rsidP="006B0FB7">
      <w:pPr>
        <w:spacing w:beforeLines="120" w:before="288" w:after="0" w:line="240" w:lineRule="auto"/>
        <w:rPr>
          <w:bCs/>
          <w:color w:val="auto"/>
          <w:szCs w:val="20"/>
        </w:rPr>
      </w:pPr>
      <w:r w:rsidRPr="006E3C42">
        <w:rPr>
          <w:bCs/>
          <w:color w:val="auto"/>
          <w:szCs w:val="20"/>
        </w:rPr>
        <w:t>Com base nas determinações da Portaria MPS nº 170, de 26 de abril de 2012, alterada pela Portaria MPS nº 440, de 09 de outubro de 2013, foi instituído o Comitê de Investimentos no âmbito do RPPS, com a finalidade de participar no processo decisório quanto à formulação e execução da política de investimentos, resgates e aplicações dos recursos financeiros resultantes de repasses de contribuições previdenciárias dos órgãos patrocinadores, de servidores ativos, inativos e pensionistas, bem como de outras receitas do RPPS.</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Compete ao Comitê de Investimentos, orientar a aplicação dos recursos financeiros e a operacionalização da Política de Investimentos do RPPS. Ainda dentro de suas atribuições, é de sua competência: </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I - </w:t>
      </w:r>
      <w:proofErr w:type="gramStart"/>
      <w:r w:rsidRPr="006E3C42">
        <w:rPr>
          <w:bCs/>
          <w:color w:val="auto"/>
          <w:szCs w:val="20"/>
        </w:rPr>
        <w:t>garantir</w:t>
      </w:r>
      <w:proofErr w:type="gramEnd"/>
      <w:r w:rsidRPr="006E3C42">
        <w:rPr>
          <w:bCs/>
          <w:color w:val="auto"/>
          <w:szCs w:val="20"/>
        </w:rPr>
        <w:t xml:space="preserve"> o cumprimento da legislação e da política de investimentos;</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II - </w:t>
      </w:r>
      <w:proofErr w:type="gramStart"/>
      <w:r w:rsidRPr="006E3C42">
        <w:rPr>
          <w:bCs/>
          <w:color w:val="auto"/>
          <w:szCs w:val="20"/>
        </w:rPr>
        <w:t>avaliar</w:t>
      </w:r>
      <w:proofErr w:type="gramEnd"/>
      <w:r w:rsidRPr="006E3C42">
        <w:rPr>
          <w:bCs/>
          <w:color w:val="auto"/>
          <w:szCs w:val="20"/>
        </w:rPr>
        <w:t xml:space="preserve"> a conveniência e adequação dos investimentos;</w:t>
      </w:r>
    </w:p>
    <w:p w:rsidR="006B0FB7" w:rsidRPr="006E3C42" w:rsidRDefault="006B0FB7" w:rsidP="006B0FB7">
      <w:pPr>
        <w:spacing w:beforeLines="120" w:before="288" w:after="0" w:line="240" w:lineRule="auto"/>
        <w:rPr>
          <w:bCs/>
          <w:color w:val="auto"/>
          <w:szCs w:val="20"/>
        </w:rPr>
      </w:pPr>
      <w:r w:rsidRPr="006E3C42">
        <w:rPr>
          <w:bCs/>
          <w:color w:val="auto"/>
          <w:szCs w:val="20"/>
        </w:rPr>
        <w:t>III - monitorar o grau de risco dos investimentos;</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IV - </w:t>
      </w:r>
      <w:proofErr w:type="gramStart"/>
      <w:r w:rsidRPr="006E3C42">
        <w:rPr>
          <w:bCs/>
          <w:color w:val="auto"/>
          <w:szCs w:val="20"/>
        </w:rPr>
        <w:t>observar</w:t>
      </w:r>
      <w:proofErr w:type="gramEnd"/>
      <w:r w:rsidRPr="006E3C42">
        <w:rPr>
          <w:bCs/>
          <w:color w:val="auto"/>
          <w:szCs w:val="20"/>
        </w:rPr>
        <w:t xml:space="preserve"> que a rentabilidade dos recursos esteja de acordo com o nível de risco assumido pela entidade;</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V - </w:t>
      </w:r>
      <w:proofErr w:type="gramStart"/>
      <w:r w:rsidRPr="006E3C42">
        <w:rPr>
          <w:bCs/>
          <w:color w:val="auto"/>
          <w:szCs w:val="20"/>
        </w:rPr>
        <w:t>garantir</w:t>
      </w:r>
      <w:proofErr w:type="gramEnd"/>
      <w:r w:rsidRPr="006E3C42">
        <w:rPr>
          <w:bCs/>
          <w:color w:val="auto"/>
          <w:szCs w:val="20"/>
        </w:rPr>
        <w:t xml:space="preserve"> a gestão ética e transparente dos recursos.</w:t>
      </w:r>
    </w:p>
    <w:p w:rsidR="006B0FB7" w:rsidRPr="006E3C42" w:rsidRDefault="006B0FB7" w:rsidP="006B0FB7">
      <w:pPr>
        <w:spacing w:beforeLines="120" w:before="288" w:after="0" w:line="240" w:lineRule="auto"/>
        <w:rPr>
          <w:bCs/>
          <w:color w:val="auto"/>
          <w:szCs w:val="20"/>
        </w:rPr>
      </w:pPr>
      <w:r w:rsidRPr="006E3C42">
        <w:rPr>
          <w:bCs/>
          <w:color w:val="auto"/>
          <w:szCs w:val="20"/>
        </w:rPr>
        <w:lastRenderedPageBreak/>
        <w:t>Sua atuação será pautada na avaliação das alternativas de investimentos com base nas expectativas quanto ao comportamento das variáveis econômicas e ficará limitada às determinações desta Política.</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São avaliados pelos responsáveis pela gestão dos recursos do </w:t>
      </w:r>
      <w:r w:rsidR="00AF522C" w:rsidRPr="006E3C42">
        <w:rPr>
          <w:b/>
          <w:bCs/>
          <w:color w:val="auto"/>
          <w:szCs w:val="20"/>
        </w:rPr>
        <w:t>INSTITUTO DE PREVIDÊNCIA DOS SERVIDORES PÚBLICOS DO MUNICÍPIO DE BOM JESUS DOS PERDÕES</w:t>
      </w:r>
      <w:r w:rsidRPr="006E3C42">
        <w:rPr>
          <w:bCs/>
          <w:color w:val="auto"/>
          <w:szCs w:val="20"/>
        </w:rPr>
        <w:t>, relatórios de acompanhamento das aplicações e operações de aquisição e venda de títulos, valores mobiliários e demais ativos alocados nos diversos segmentos de aplicação. Esse relatório será elaborado trimestralmente e terá como objetivo documentar e acompanhar a aplicação de seus recursos.</w:t>
      </w:r>
    </w:p>
    <w:p w:rsidR="006B0FB7" w:rsidRPr="006E3C42" w:rsidRDefault="006B0FB7" w:rsidP="006B0FB7">
      <w:pPr>
        <w:spacing w:beforeLines="120" w:before="288" w:after="0" w:line="240" w:lineRule="auto"/>
        <w:rPr>
          <w:bCs/>
          <w:color w:val="auto"/>
          <w:szCs w:val="20"/>
        </w:rPr>
      </w:pPr>
      <w:r w:rsidRPr="006E3C42">
        <w:rPr>
          <w:bCs/>
          <w:color w:val="auto"/>
          <w:szCs w:val="20"/>
        </w:rPr>
        <w:t>Os relatórios supracitados serão mantidos e colocados à disposição do Ministério da Previdência Social, Tribunal de Contas do Estado, Conselho Fiscal e de Administração e demais órgãos fiscalizadores.</w:t>
      </w:r>
    </w:p>
    <w:p w:rsidR="006B0FB7" w:rsidRPr="006E3C42" w:rsidRDefault="006B0FB7" w:rsidP="006B0FB7">
      <w:pPr>
        <w:spacing w:beforeLines="120" w:before="288" w:after="0" w:line="240" w:lineRule="auto"/>
        <w:rPr>
          <w:bCs/>
          <w:color w:val="auto"/>
          <w:szCs w:val="20"/>
        </w:rPr>
      </w:pPr>
      <w:r w:rsidRPr="006E3C42">
        <w:rPr>
          <w:bCs/>
          <w:color w:val="auto"/>
          <w:szCs w:val="20"/>
        </w:rPr>
        <w:t>Caberá ao comitê de investimentos do RPPS acompanhar a Política de Investimentos e sua aderência legal analisando a efetiva aplicação dos seus dispositivos.</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As operações realizadas no mercado secundário (compra/venda de títulos públicos) deverão ser realizadas através de plataforma eletrônica autorizada, </w:t>
      </w:r>
      <w:proofErr w:type="spellStart"/>
      <w:r w:rsidRPr="006E3C42">
        <w:rPr>
          <w:bCs/>
          <w:color w:val="auto"/>
          <w:szCs w:val="20"/>
        </w:rPr>
        <w:t>Sisbex</w:t>
      </w:r>
      <w:proofErr w:type="spellEnd"/>
      <w:r w:rsidRPr="006E3C42">
        <w:rPr>
          <w:bCs/>
          <w:color w:val="auto"/>
          <w:szCs w:val="20"/>
        </w:rPr>
        <w:t xml:space="preserve"> da BM&amp;F e </w:t>
      </w:r>
      <w:proofErr w:type="spellStart"/>
      <w:r w:rsidRPr="006E3C42">
        <w:rPr>
          <w:bCs/>
          <w:color w:val="auto"/>
          <w:szCs w:val="20"/>
        </w:rPr>
        <w:t>CetipNet</w:t>
      </w:r>
      <w:proofErr w:type="spellEnd"/>
      <w:r w:rsidRPr="006E3C42">
        <w:rPr>
          <w:bCs/>
          <w:color w:val="auto"/>
          <w:szCs w:val="20"/>
        </w:rPr>
        <w:t xml:space="preserve"> da </w:t>
      </w:r>
      <w:proofErr w:type="spellStart"/>
      <w:r w:rsidRPr="006E3C42">
        <w:rPr>
          <w:bCs/>
          <w:color w:val="auto"/>
          <w:szCs w:val="20"/>
        </w:rPr>
        <w:t>Cetip</w:t>
      </w:r>
      <w:proofErr w:type="spellEnd"/>
      <w:r w:rsidRPr="006E3C42">
        <w:rPr>
          <w:bCs/>
          <w:color w:val="auto"/>
          <w:szCs w:val="20"/>
        </w:rPr>
        <w:t xml:space="preserve"> que já atendem aos pré-requisitos para oferecer as rodas de negociação nos moldes exigidos pelo Tesouro Nacional e pelo Banco Central. O RPPS deverá ainda, realizar o acompanhamento de preços e taxas praticados em tais operações e compará-los aos preços e taxas utilizados como referência de mercado (ANBIMA).</w:t>
      </w:r>
    </w:p>
    <w:p w:rsidR="006B0FB7" w:rsidRPr="006E3C42" w:rsidRDefault="006B0FB7" w:rsidP="006B0FB7">
      <w:pPr>
        <w:spacing w:beforeLines="120" w:before="288" w:after="0" w:line="240" w:lineRule="auto"/>
        <w:rPr>
          <w:bCs/>
          <w:color w:val="auto"/>
          <w:szCs w:val="20"/>
        </w:rPr>
      </w:pPr>
      <w:r w:rsidRPr="006E3C42">
        <w:rPr>
          <w:bCs/>
          <w:color w:val="auto"/>
          <w:szCs w:val="20"/>
        </w:rPr>
        <w:t>Dentro da vigência do contrato que o RPPS mantém com a</w:t>
      </w:r>
      <w:r w:rsidRPr="006E3C42">
        <w:rPr>
          <w:b/>
          <w:bCs/>
          <w:color w:val="auto"/>
          <w:szCs w:val="20"/>
        </w:rPr>
        <w:t xml:space="preserve"> </w:t>
      </w:r>
      <w:r w:rsidRPr="006E3C42">
        <w:rPr>
          <w:bCs/>
          <w:color w:val="auto"/>
          <w:szCs w:val="20"/>
        </w:rPr>
        <w:t>empresa de consultoria de investimentos, está contemplada a consulta às oportunidades de investimentos a serem realizados no âmbito desta política de investimentos.</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É importante ressaltar que, seja qual for à alocação de ativos, o mercado poderá apresentar períodos adversos, que poderão afetar ao menos parte da carteira. Portanto, é imperativo observar um horizonte de tempo que possa ajustar essas flutuações e permitir a recuperação da ocorrência de ocasionais perdas. Desta forma, o RPPS deve manter-se fiel à política de investimentos definida originalmente a partir do seu perfil de risco. </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E, de forma organizada, remanejar a alocação inicial em momentos de alta (vendendo) ou baixa (comprando) com o objetivo de </w:t>
      </w:r>
      <w:proofErr w:type="spellStart"/>
      <w:r w:rsidRPr="006E3C42">
        <w:rPr>
          <w:bCs/>
          <w:color w:val="auto"/>
          <w:szCs w:val="20"/>
        </w:rPr>
        <w:t>rebalancear</w:t>
      </w:r>
      <w:proofErr w:type="spellEnd"/>
      <w:r w:rsidRPr="006E3C42">
        <w:rPr>
          <w:bCs/>
          <w:color w:val="auto"/>
          <w:szCs w:val="20"/>
        </w:rPr>
        <w:t xml:space="preserve"> sua carteira de investimentos. Três virtudes básicas de um bom investidor são fundamentais: disciplina, paciência e diversificação.</w:t>
      </w:r>
    </w:p>
    <w:p w:rsidR="006B0FB7" w:rsidRPr="006E3C42" w:rsidRDefault="006B0FB7" w:rsidP="006B0FB7">
      <w:pPr>
        <w:spacing w:beforeLines="120" w:before="288" w:after="0" w:line="240" w:lineRule="auto"/>
        <w:rPr>
          <w:bCs/>
          <w:color w:val="auto"/>
          <w:szCs w:val="20"/>
        </w:rPr>
      </w:pPr>
      <w:r w:rsidRPr="006E3C42">
        <w:rPr>
          <w:bCs/>
          <w:color w:val="auto"/>
          <w:szCs w:val="20"/>
        </w:rPr>
        <w:t>As aplicações realizadas pelo RPPS passarão por um processo de análise, para o qual serão utilizadas algumas ferramentas disponíveis no mercado, como o histórico de cotas de fundos de investimentos, abertura de carteira de investimentos, informações de mercado on-line, pesquisa em sites institucionais e outras.</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Além de estudar o regulamento e o prospecto dos fundos de investimentos, será feita uma análise do gestor/administrador e da taxa de administração cobrada, dentre outros critérios. Os investimentos serão constantemente avaliados através de acompanhamento de desempenho, da abertura da composição das carteiras e avaliações de ativos. </w:t>
      </w:r>
    </w:p>
    <w:p w:rsidR="006B0FB7" w:rsidRPr="006E3C42" w:rsidRDefault="006B0FB7" w:rsidP="006B0FB7">
      <w:pPr>
        <w:spacing w:beforeLines="120" w:before="288" w:after="0" w:line="240" w:lineRule="auto"/>
        <w:rPr>
          <w:bCs/>
          <w:color w:val="auto"/>
          <w:szCs w:val="20"/>
        </w:rPr>
      </w:pPr>
      <w:r w:rsidRPr="006E3C42">
        <w:rPr>
          <w:bCs/>
          <w:color w:val="auto"/>
          <w:szCs w:val="20"/>
        </w:rPr>
        <w:t>As avaliações são feitas para orientar as definições de estratégias e as tomadas de decisões, de forma a aperfeiçoar o retorno da carteira e minimizar riscos.</w:t>
      </w:r>
    </w:p>
    <w:p w:rsidR="00B60B7D" w:rsidRPr="006E3C42" w:rsidRDefault="00B60B7D">
      <w:pPr>
        <w:rPr>
          <w:bCs/>
          <w:color w:val="auto"/>
          <w:szCs w:val="20"/>
        </w:rPr>
      </w:pPr>
      <w:bookmarkStart w:id="126" w:name="_Toc490036564"/>
      <w:r w:rsidRPr="006E3C42">
        <w:rPr>
          <w:bCs/>
          <w:color w:val="auto"/>
          <w:szCs w:val="20"/>
        </w:rPr>
        <w:br w:type="page"/>
      </w:r>
    </w:p>
    <w:p w:rsidR="006B0FB7" w:rsidRPr="006E3C42" w:rsidRDefault="006B0FB7" w:rsidP="00695F71">
      <w:pPr>
        <w:pStyle w:val="Ttulo1"/>
        <w:rPr>
          <w:color w:val="auto"/>
        </w:rPr>
      </w:pPr>
      <w:bookmarkStart w:id="127" w:name="_Toc521592816"/>
      <w:r w:rsidRPr="006E3C42">
        <w:rPr>
          <w:color w:val="auto"/>
        </w:rPr>
        <w:lastRenderedPageBreak/>
        <w:t>DISPOSIÇÕES GERAIS</w:t>
      </w:r>
      <w:bookmarkEnd w:id="126"/>
      <w:bookmarkEnd w:id="127"/>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A presente Política de Investimentos poderá ser revista no curso de sua execução e monitorada no curto prazo, a contar da data de sua aprovação pelo órgão superior competente do RPPS, sendo que o prazo de validade compreenderá o ano de </w:t>
      </w:r>
      <w:r w:rsidR="00CB3977" w:rsidRPr="006E3C42">
        <w:rPr>
          <w:bCs/>
          <w:color w:val="auto"/>
          <w:szCs w:val="20"/>
        </w:rPr>
        <w:t>2019</w:t>
      </w:r>
      <w:r w:rsidRPr="006E3C42">
        <w:rPr>
          <w:bCs/>
          <w:color w:val="auto"/>
          <w:szCs w:val="20"/>
        </w:rPr>
        <w:t>.</w:t>
      </w:r>
    </w:p>
    <w:p w:rsidR="006B0FB7" w:rsidRPr="006E3C42" w:rsidRDefault="006B0FB7" w:rsidP="006B0FB7">
      <w:pPr>
        <w:spacing w:beforeLines="120" w:before="288" w:after="0" w:line="240" w:lineRule="auto"/>
        <w:rPr>
          <w:bCs/>
          <w:color w:val="auto"/>
          <w:szCs w:val="20"/>
        </w:rPr>
      </w:pPr>
      <w:r w:rsidRPr="006E3C42">
        <w:rPr>
          <w:bCs/>
          <w:color w:val="auto"/>
          <w:szCs w:val="20"/>
        </w:rPr>
        <w:t>Reuniões extraordinárias junto ao Conselho do RPPS serão realizadas sempre que houver necessidade de ajustes nesta política de investimentos perante o comportamento/conjuntura do mercado, quando se apresentar o interesse da preservação dos ativos financeiros e/ou com vistas à adequação à nova legislação.</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Deverão estar certificados os responsáveis pelo acompanhamento e operacionalização dos investimentos do RPPS, através de exame de certificação organizado por entidade autônoma de reconhecida capacidade técnica e difusão no mercado brasileiro de capitais, cujo conteúdo abrangerá, no mínimo, o contido no anexo a Portaria MPAS nº 519, de 24 de agosto de 2011. </w:t>
      </w:r>
    </w:p>
    <w:p w:rsidR="006B0FB7" w:rsidRPr="006E3C42" w:rsidRDefault="006B0FB7" w:rsidP="006B0FB7">
      <w:pPr>
        <w:spacing w:beforeLines="120" w:before="288" w:after="0" w:line="240" w:lineRule="auto"/>
        <w:rPr>
          <w:bCs/>
          <w:color w:val="auto"/>
          <w:szCs w:val="20"/>
        </w:rPr>
      </w:pPr>
      <w:r w:rsidRPr="006E3C42">
        <w:rPr>
          <w:bCs/>
          <w:color w:val="auto"/>
          <w:szCs w:val="20"/>
        </w:rPr>
        <w:t xml:space="preserve">A comprovação da habilitação ocorrerá mediante o preenchimento dos campos específicos constantes do Demonstrativo da Política de Investimentos - DPIN e do Demonstrativo de Aplicações e Investimentos dos Recursos - DAIR. </w:t>
      </w:r>
    </w:p>
    <w:p w:rsidR="006B0FB7" w:rsidRPr="006E3C42" w:rsidRDefault="006B0FB7" w:rsidP="006B0FB7">
      <w:pPr>
        <w:spacing w:beforeLines="120" w:before="288" w:after="0" w:line="240" w:lineRule="auto"/>
        <w:rPr>
          <w:bCs/>
          <w:color w:val="auto"/>
          <w:szCs w:val="20"/>
        </w:rPr>
      </w:pPr>
      <w:r w:rsidRPr="006E3C42">
        <w:rPr>
          <w:bCs/>
          <w:color w:val="auto"/>
          <w:szCs w:val="20"/>
        </w:rPr>
        <w:t>As Instituições Financeiras que operem e que venham a operar com o RPPS poderão, a título institucional, oferecer apoio técnico através de cursos, seminários e workshops ministrados por profissionais de mercado e/ou funcionários das Instituições para capacitação de servidores e membros dos órgãos colegiados do RPPS; bem como, contraprestação de serviços e projetos de iniciativa do RPPS, sem que haja ônus ou compromisso vinculados aos produtos de investimentos.</w:t>
      </w:r>
    </w:p>
    <w:p w:rsidR="006B0FB7" w:rsidRPr="006E3C42" w:rsidRDefault="006B0FB7" w:rsidP="006B0FB7">
      <w:pPr>
        <w:spacing w:beforeLines="120" w:before="288" w:after="0" w:line="240" w:lineRule="auto"/>
        <w:rPr>
          <w:bCs/>
          <w:color w:val="auto"/>
          <w:szCs w:val="20"/>
        </w:rPr>
      </w:pPr>
      <w:r w:rsidRPr="006E3C42">
        <w:rPr>
          <w:bCs/>
          <w:color w:val="auto"/>
          <w:szCs w:val="20"/>
        </w:rPr>
        <w:t>Ressalvadas situações especiais a serem avaliadas pelo Comitê de Investimentos do RPPS (tais como fundos fechados, fundos abertos com prazos de captação limitados), os fundos elegíveis para alocação deverão apresentar série histórica de, no mínimo, 6 (seis) meses, contados da data de início de funcionamento do fundo.</w:t>
      </w:r>
    </w:p>
    <w:p w:rsidR="006B0FB7" w:rsidRPr="006E3C42" w:rsidRDefault="006B0FB7" w:rsidP="006B0FB7">
      <w:pPr>
        <w:spacing w:beforeLines="120" w:before="288" w:after="0" w:line="240" w:lineRule="auto"/>
        <w:rPr>
          <w:bCs/>
          <w:color w:val="auto"/>
          <w:szCs w:val="20"/>
        </w:rPr>
      </w:pPr>
      <w:r w:rsidRPr="006E3C42">
        <w:rPr>
          <w:bCs/>
          <w:color w:val="auto"/>
          <w:szCs w:val="20"/>
        </w:rPr>
        <w:t>Casos omissos nesta Política de Investimentos remetem-se à Resolução CMN n° 3.922/2010</w:t>
      </w:r>
      <w:r w:rsidR="00E81B0B" w:rsidRPr="006E3C42">
        <w:rPr>
          <w:bCs/>
          <w:color w:val="auto"/>
          <w:szCs w:val="20"/>
        </w:rPr>
        <w:t xml:space="preserve"> e suas alterações</w:t>
      </w:r>
      <w:r w:rsidRPr="006E3C42">
        <w:rPr>
          <w:bCs/>
          <w:color w:val="auto"/>
          <w:szCs w:val="20"/>
        </w:rPr>
        <w:t>, e à Portaria MPS nº 519, de 24 de agosto de 2011.</w:t>
      </w:r>
    </w:p>
    <w:p w:rsidR="006B0FB7" w:rsidRPr="006E3C42" w:rsidRDefault="006B0FB7" w:rsidP="006B0FB7">
      <w:pPr>
        <w:spacing w:beforeLines="120" w:before="288" w:after="0" w:line="240" w:lineRule="auto"/>
        <w:rPr>
          <w:bCs/>
          <w:color w:val="auto"/>
          <w:szCs w:val="20"/>
        </w:rPr>
      </w:pPr>
      <w:r w:rsidRPr="006E3C42">
        <w:rPr>
          <w:bCs/>
          <w:color w:val="auto"/>
          <w:szCs w:val="20"/>
        </w:rPr>
        <w:t>É parte integrante desta Política de Investimentos, cópia da Ata do órgão superior competente que aprova o presente instrumento, devidamente assinada por seus membros.</w:t>
      </w:r>
    </w:p>
    <w:p w:rsidR="006B0FB7" w:rsidRPr="006E3C42" w:rsidRDefault="006B0FB7" w:rsidP="006B0FB7">
      <w:pPr>
        <w:spacing w:beforeLines="120" w:before="288" w:after="0" w:line="240" w:lineRule="auto"/>
        <w:rPr>
          <w:bCs/>
          <w:color w:val="auto"/>
          <w:szCs w:val="20"/>
        </w:rPr>
      </w:pPr>
      <w:r w:rsidRPr="006E3C42">
        <w:rPr>
          <w:bCs/>
          <w:color w:val="auto"/>
          <w:szCs w:val="20"/>
        </w:rPr>
        <w:t>Observação: Conforme Portaria MPS nº 440, de 09 de outubro de 2013, este documento deverá ser assinado:</w:t>
      </w:r>
    </w:p>
    <w:p w:rsidR="006B0FB7" w:rsidRPr="006E3C42" w:rsidRDefault="006B0FB7" w:rsidP="006B0FB7">
      <w:pPr>
        <w:spacing w:beforeLines="120" w:before="288" w:after="0" w:line="240" w:lineRule="auto"/>
        <w:rPr>
          <w:bCs/>
          <w:color w:val="auto"/>
          <w:szCs w:val="20"/>
        </w:rPr>
      </w:pPr>
      <w:r w:rsidRPr="006E3C42">
        <w:rPr>
          <w:bCs/>
          <w:color w:val="auto"/>
          <w:szCs w:val="20"/>
        </w:rPr>
        <w:t>Pelo representante do ente federativo;</w:t>
      </w:r>
    </w:p>
    <w:p w:rsidR="006B0FB7" w:rsidRPr="006E3C42" w:rsidRDefault="006B0FB7" w:rsidP="006B0FB7">
      <w:pPr>
        <w:spacing w:beforeLines="120" w:before="288" w:after="0" w:line="240" w:lineRule="auto"/>
        <w:rPr>
          <w:bCs/>
          <w:color w:val="auto"/>
          <w:szCs w:val="20"/>
        </w:rPr>
      </w:pPr>
      <w:r w:rsidRPr="006E3C42">
        <w:rPr>
          <w:bCs/>
          <w:color w:val="auto"/>
          <w:szCs w:val="20"/>
        </w:rPr>
        <w:t>Pelo representante da unidade gestora do RPPS;</w:t>
      </w:r>
    </w:p>
    <w:p w:rsidR="00687BFD" w:rsidRPr="006E3C42" w:rsidRDefault="006B0FB7" w:rsidP="006B0FB7">
      <w:pPr>
        <w:spacing w:beforeLines="120" w:before="288" w:after="0" w:line="240" w:lineRule="auto"/>
        <w:rPr>
          <w:color w:val="auto"/>
          <w:szCs w:val="20"/>
        </w:rPr>
      </w:pPr>
      <w:r w:rsidRPr="006E3C42">
        <w:rPr>
          <w:bCs/>
          <w:color w:val="auto"/>
          <w:szCs w:val="20"/>
        </w:rPr>
        <w:t>Pelos responsáveis pela elaboração, aprovação e execução desta Política de Investimentos.</w:t>
      </w:r>
      <w:r w:rsidR="00687BFD" w:rsidRPr="006E3C42">
        <w:rPr>
          <w:color w:val="auto"/>
          <w:szCs w:val="20"/>
        </w:rPr>
        <w:br w:type="page"/>
      </w:r>
    </w:p>
    <w:p w:rsidR="00F17701" w:rsidRPr="006E3C42" w:rsidRDefault="000F5173" w:rsidP="00695F71">
      <w:pPr>
        <w:pStyle w:val="Ttulo1"/>
        <w:numPr>
          <w:ilvl w:val="0"/>
          <w:numId w:val="0"/>
        </w:numPr>
        <w:ind w:left="432" w:hanging="432"/>
        <w:rPr>
          <w:color w:val="auto"/>
        </w:rPr>
      </w:pPr>
      <w:bookmarkStart w:id="128" w:name="_Toc521592817"/>
      <w:r w:rsidRPr="006E3C42">
        <w:rPr>
          <w:color w:val="auto"/>
        </w:rPr>
        <w:lastRenderedPageBreak/>
        <w:t>DISCLAIMER</w:t>
      </w:r>
      <w:bookmarkEnd w:id="128"/>
    </w:p>
    <w:p w:rsidR="00B5070A" w:rsidRPr="006E3C42" w:rsidRDefault="00E97A92" w:rsidP="00883A95">
      <w:pPr>
        <w:spacing w:beforeLines="120" w:before="288" w:after="0" w:line="240" w:lineRule="auto"/>
        <w:rPr>
          <w:bCs/>
          <w:color w:val="auto"/>
          <w:sz w:val="14"/>
          <w:szCs w:val="20"/>
        </w:rPr>
      </w:pPr>
      <w:r w:rsidRPr="006E3C42">
        <w:rPr>
          <w:bCs/>
          <w:i/>
          <w:color w:val="auto"/>
          <w:sz w:val="14"/>
          <w:szCs w:val="20"/>
        </w:rPr>
        <w:t>Este Relatório e/ou Parecer foi preparado para uso exclusivo do destinatário, não podendo ser reproduzido ou distribuído por este a qualquer pessoa sem expressa autorização da Empresa. As informações aqui contidas são somente com o objetivo de prover informações e não representa, em nenhuma hipótese, uma oferta de compra e venda ou solicitação de compra e venda de qualquer valor mobiliário ou instrumento financeiro. Esta é apenas uma OPINIÃO que reflete o momento da análise e são consubstanciadas em informações coletadas que julgamos confiáveis.</w:t>
      </w:r>
      <w:r w:rsidR="00883A95" w:rsidRPr="006E3C42">
        <w:rPr>
          <w:bCs/>
          <w:i/>
          <w:color w:val="auto"/>
          <w:sz w:val="14"/>
          <w:szCs w:val="20"/>
        </w:rPr>
        <w:t xml:space="preserve"> </w:t>
      </w:r>
      <w:r w:rsidRPr="006E3C42">
        <w:rPr>
          <w:bCs/>
          <w:i/>
          <w:color w:val="auto"/>
          <w:sz w:val="14"/>
          <w:szCs w:val="20"/>
        </w:rPr>
        <w:t>Não nos responsabilizamos pela utilização destas informações em suas tomadas de decisão e consequentes perdas e ganhos. As informações aqui contidas não representam garantia de exatidão das informações prestadas ou julgamento sobre a qualidade das mesmas, e não devem ser consideradas como tais. As opiniões contidas neste Relatório e/ou Parecer são baseadas em julgamentos e estimativas, estando, portanto, sujeitas a mudanças.</w:t>
      </w:r>
      <w:r w:rsidR="00883A95" w:rsidRPr="006E3C42">
        <w:rPr>
          <w:bCs/>
          <w:i/>
          <w:color w:val="auto"/>
          <w:sz w:val="14"/>
          <w:szCs w:val="20"/>
        </w:rPr>
        <w:t xml:space="preserve"> </w:t>
      </w:r>
      <w:r w:rsidRPr="006E3C42">
        <w:rPr>
          <w:bCs/>
          <w:i/>
          <w:color w:val="auto"/>
          <w:sz w:val="14"/>
          <w:szCs w:val="20"/>
        </w:rPr>
        <w:t>As informações deste Relatório procuram estar em consonância com o regulamento dos produtos mencionados, mas não substituem seus materiais regulatórios, como regulamentos e prospectos de distribuição. É recomendada a leitura cuidadosa tanto do prospecto quanto do regulamento, com especial atenção para as cláusulas relativas ao objetivo e à política de investimento dos produtos de investimento, bem como às disposições do prospecto e do regulamento que tratam dos fatoras de risco a que o fundo está exposto. Todas as informações sobre os produtos aqui mencionados, bem como o regulamento e o prospecto, podem ser obtidas com o responsável pela distribuição.</w:t>
      </w:r>
      <w:r w:rsidR="00883A95" w:rsidRPr="006E3C42">
        <w:rPr>
          <w:bCs/>
          <w:i/>
          <w:color w:val="auto"/>
          <w:sz w:val="14"/>
          <w:szCs w:val="20"/>
        </w:rPr>
        <w:t xml:space="preserve"> </w:t>
      </w:r>
      <w:r w:rsidRPr="006E3C42">
        <w:rPr>
          <w:bCs/>
          <w:i/>
          <w:color w:val="auto"/>
          <w:sz w:val="14"/>
          <w:szCs w:val="20"/>
        </w:rPr>
        <w:t>A rentabilidade obtida no passado não representa garantia de rentabilidade futura e os produtos estruturados possuem, além da volatilidade, riscos associados à sua carteira de crédito e estruturação.</w:t>
      </w:r>
      <w:r w:rsidR="00883A95" w:rsidRPr="006E3C42">
        <w:rPr>
          <w:bCs/>
          <w:i/>
          <w:color w:val="auto"/>
          <w:sz w:val="14"/>
          <w:szCs w:val="20"/>
        </w:rPr>
        <w:t xml:space="preserve"> </w:t>
      </w:r>
      <w:r w:rsidRPr="006E3C42">
        <w:rPr>
          <w:bCs/>
          <w:i/>
          <w:color w:val="auto"/>
          <w:sz w:val="14"/>
          <w:szCs w:val="20"/>
        </w:rPr>
        <w:t>Os RPPS devem estar adequados à Portaria nº 519, de 24 de Agosto de 2011 e suas alterações conforme Portarias nº 170, de 25 de Abril de 2012; nº 440, de 09 de Outubro de 2013 e nº 300 de 03 de Julho de 2015, além da Resolução CMN nº 3.922 de 25 de Novembro de 2010 e sua alteração conforme Resolução CMN nº 4.392 de 19 de Dezembro de 2014, que dispõem sobre as aplicações dos recursos financeiros dos Regimes Próprios de Previdência Social, instituídos pela União, Estados, Distrito Federal e Municípios e dá outras providências.</w:t>
      </w:r>
    </w:p>
    <w:p w:rsidR="00F17701" w:rsidRPr="006E3C42" w:rsidRDefault="00F17701" w:rsidP="00695F71">
      <w:pPr>
        <w:spacing w:beforeLines="120" w:before="288" w:after="0" w:line="240" w:lineRule="auto"/>
        <w:rPr>
          <w:color w:val="auto"/>
          <w:szCs w:val="20"/>
        </w:rPr>
      </w:pPr>
    </w:p>
    <w:sectPr w:rsidR="00F17701" w:rsidRPr="006E3C42" w:rsidSect="00226B7B">
      <w:headerReference w:type="default" r:id="rId11"/>
      <w:footerReference w:type="default" r:id="rId12"/>
      <w:pgSz w:w="11906" w:h="16838"/>
      <w:pgMar w:top="1135" w:right="1134" w:bottom="1134"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982" w:rsidRDefault="006F0982" w:rsidP="00D87426">
      <w:pPr>
        <w:spacing w:after="0" w:line="240" w:lineRule="auto"/>
      </w:pPr>
      <w:r>
        <w:separator/>
      </w:r>
    </w:p>
  </w:endnote>
  <w:endnote w:type="continuationSeparator" w:id="0">
    <w:p w:rsidR="006F0982" w:rsidRDefault="006F0982" w:rsidP="00D8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E88" w:rsidRDefault="00516E88">
    <w:pPr>
      <w:pStyle w:val="Rodap"/>
      <w:jc w:val="right"/>
    </w:pPr>
    <w:r>
      <w:t xml:space="preserve">p. </w:t>
    </w:r>
    <w:sdt>
      <w:sdtPr>
        <w:id w:val="1893306894"/>
        <w:docPartObj>
          <w:docPartGallery w:val="Page Numbers (Bottom of Page)"/>
          <w:docPartUnique/>
        </w:docPartObj>
      </w:sdtPr>
      <w:sdtEndPr/>
      <w:sdtContent>
        <w:r>
          <w:fldChar w:fldCharType="begin"/>
        </w:r>
        <w:r>
          <w:instrText>PAGE   \* MERGEFORMAT</w:instrText>
        </w:r>
        <w:r>
          <w:fldChar w:fldCharType="separate"/>
        </w:r>
        <w:r w:rsidR="00AB4A70">
          <w:rPr>
            <w:noProof/>
          </w:rPr>
          <w:t>25</w:t>
        </w:r>
        <w:r>
          <w:fldChar w:fldCharType="end"/>
        </w:r>
      </w:sdtContent>
    </w:sdt>
  </w:p>
  <w:p w:rsidR="00516E88" w:rsidRDefault="00516E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982" w:rsidRDefault="006F0982" w:rsidP="00D87426">
      <w:pPr>
        <w:spacing w:after="0" w:line="240" w:lineRule="auto"/>
      </w:pPr>
      <w:r>
        <w:separator/>
      </w:r>
    </w:p>
  </w:footnote>
  <w:footnote w:type="continuationSeparator" w:id="0">
    <w:p w:rsidR="006F0982" w:rsidRDefault="006F0982" w:rsidP="00D87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E88" w:rsidRPr="0099229B" w:rsidRDefault="00516E88" w:rsidP="00AF522C">
    <w:pPr>
      <w:pStyle w:val="Cabealho"/>
      <w:jc w:val="center"/>
      <w:rPr>
        <w:color w:val="44546A" w:themeColor="text2"/>
      </w:rPr>
    </w:pPr>
    <w:r w:rsidRPr="0099229B">
      <w:rPr>
        <w:noProof/>
        <w:color w:val="44546A" w:themeColor="text2"/>
        <w:lang w:eastAsia="pt-BR"/>
      </w:rPr>
      <w:drawing>
        <wp:anchor distT="0" distB="0" distL="114300" distR="114300" simplePos="0" relativeHeight="251658240" behindDoc="1" locked="0" layoutInCell="1" allowOverlap="1" wp14:anchorId="75832228" wp14:editId="42C24A1F">
          <wp:simplePos x="0" y="0"/>
          <wp:positionH relativeFrom="column">
            <wp:posOffset>5349240</wp:posOffset>
          </wp:positionH>
          <wp:positionV relativeFrom="paragraph">
            <wp:posOffset>-163829</wp:posOffset>
          </wp:positionV>
          <wp:extent cx="819150" cy="819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90x90.png"/>
                  <pic:cNvPicPr/>
                </pic:nvPicPr>
                <pic:blipFill>
                  <a:blip r:embed="rId1">
                    <a:extLst>
                      <a:ext uri="{28A0092B-C50C-407E-A947-70E740481C1C}">
                        <a14:useLocalDpi xmlns:a14="http://schemas.microsoft.com/office/drawing/2010/main" val="0"/>
                      </a:ext>
                    </a:extLst>
                  </a:blip>
                  <a:stretch>
                    <a:fillRect/>
                  </a:stretch>
                </pic:blipFill>
                <pic:spPr>
                  <a:xfrm>
                    <a:off x="0" y="0"/>
                    <a:ext cx="819337" cy="819337"/>
                  </a:xfrm>
                  <a:prstGeom prst="rect">
                    <a:avLst/>
                  </a:prstGeom>
                </pic:spPr>
              </pic:pic>
            </a:graphicData>
          </a:graphic>
          <wp14:sizeRelH relativeFrom="margin">
            <wp14:pctWidth>0</wp14:pctWidth>
          </wp14:sizeRelH>
          <wp14:sizeRelV relativeFrom="margin">
            <wp14:pctHeight>0</wp14:pctHeight>
          </wp14:sizeRelV>
        </wp:anchor>
      </w:drawing>
    </w:r>
    <w:r>
      <w:rPr>
        <w:color w:val="44546A" w:themeColor="text2"/>
      </w:rPr>
      <w:t>Política de Investimentos 2019</w:t>
    </w:r>
  </w:p>
  <w:p w:rsidR="00516E88" w:rsidRPr="0099229B" w:rsidRDefault="00516E88" w:rsidP="00AF522C">
    <w:pPr>
      <w:pStyle w:val="Cabealho"/>
      <w:jc w:val="center"/>
      <w:rPr>
        <w:color w:val="44546A" w:themeColor="text2"/>
      </w:rPr>
    </w:pPr>
    <w:r w:rsidRPr="0099229B">
      <w:rPr>
        <w:color w:val="44546A" w:themeColor="text2"/>
      </w:rPr>
      <w:t>Instituto de Previd</w:t>
    </w:r>
    <w:r w:rsidR="006E3C42">
      <w:rPr>
        <w:color w:val="44546A" w:themeColor="text2"/>
      </w:rPr>
      <w:t>ê</w:t>
    </w:r>
    <w:r w:rsidRPr="0099229B">
      <w:rPr>
        <w:color w:val="44546A" w:themeColor="text2"/>
      </w:rPr>
      <w:t>ncia dos Servidores Públicos do Município de Bom Jesus dos Perdões</w:t>
    </w:r>
  </w:p>
  <w:p w:rsidR="00516E88" w:rsidRDefault="00516E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4E6"/>
    <w:multiLevelType w:val="hybridMultilevel"/>
    <w:tmpl w:val="3A08CB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031D12"/>
    <w:multiLevelType w:val="hybridMultilevel"/>
    <w:tmpl w:val="02386C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BB6D37"/>
    <w:multiLevelType w:val="multilevel"/>
    <w:tmpl w:val="4D20367C"/>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DCF6C13"/>
    <w:multiLevelType w:val="hybridMultilevel"/>
    <w:tmpl w:val="D6982488"/>
    <w:lvl w:ilvl="0" w:tplc="D5C20464">
      <w:start w:val="1"/>
      <w:numFmt w:val="bullet"/>
      <w:lvlText w:val="•"/>
      <w:lvlJc w:val="left"/>
      <w:pPr>
        <w:tabs>
          <w:tab w:val="num" w:pos="720"/>
        </w:tabs>
        <w:ind w:left="720" w:hanging="360"/>
      </w:pPr>
      <w:rPr>
        <w:rFonts w:ascii="Arial" w:hAnsi="Arial" w:hint="default"/>
      </w:rPr>
    </w:lvl>
    <w:lvl w:ilvl="1" w:tplc="C422FD3E" w:tentative="1">
      <w:start w:val="1"/>
      <w:numFmt w:val="bullet"/>
      <w:lvlText w:val="•"/>
      <w:lvlJc w:val="left"/>
      <w:pPr>
        <w:tabs>
          <w:tab w:val="num" w:pos="1440"/>
        </w:tabs>
        <w:ind w:left="1440" w:hanging="360"/>
      </w:pPr>
      <w:rPr>
        <w:rFonts w:ascii="Arial" w:hAnsi="Arial" w:hint="default"/>
      </w:rPr>
    </w:lvl>
    <w:lvl w:ilvl="2" w:tplc="BF4437B8" w:tentative="1">
      <w:start w:val="1"/>
      <w:numFmt w:val="bullet"/>
      <w:lvlText w:val="•"/>
      <w:lvlJc w:val="left"/>
      <w:pPr>
        <w:tabs>
          <w:tab w:val="num" w:pos="2160"/>
        </w:tabs>
        <w:ind w:left="2160" w:hanging="360"/>
      </w:pPr>
      <w:rPr>
        <w:rFonts w:ascii="Arial" w:hAnsi="Arial" w:hint="default"/>
      </w:rPr>
    </w:lvl>
    <w:lvl w:ilvl="3" w:tplc="F6280244" w:tentative="1">
      <w:start w:val="1"/>
      <w:numFmt w:val="bullet"/>
      <w:lvlText w:val="•"/>
      <w:lvlJc w:val="left"/>
      <w:pPr>
        <w:tabs>
          <w:tab w:val="num" w:pos="2880"/>
        </w:tabs>
        <w:ind w:left="2880" w:hanging="360"/>
      </w:pPr>
      <w:rPr>
        <w:rFonts w:ascii="Arial" w:hAnsi="Arial" w:hint="default"/>
      </w:rPr>
    </w:lvl>
    <w:lvl w:ilvl="4" w:tplc="5AB2F98A" w:tentative="1">
      <w:start w:val="1"/>
      <w:numFmt w:val="bullet"/>
      <w:lvlText w:val="•"/>
      <w:lvlJc w:val="left"/>
      <w:pPr>
        <w:tabs>
          <w:tab w:val="num" w:pos="3600"/>
        </w:tabs>
        <w:ind w:left="3600" w:hanging="360"/>
      </w:pPr>
      <w:rPr>
        <w:rFonts w:ascii="Arial" w:hAnsi="Arial" w:hint="default"/>
      </w:rPr>
    </w:lvl>
    <w:lvl w:ilvl="5" w:tplc="F06623A8" w:tentative="1">
      <w:start w:val="1"/>
      <w:numFmt w:val="bullet"/>
      <w:lvlText w:val="•"/>
      <w:lvlJc w:val="left"/>
      <w:pPr>
        <w:tabs>
          <w:tab w:val="num" w:pos="4320"/>
        </w:tabs>
        <w:ind w:left="4320" w:hanging="360"/>
      </w:pPr>
      <w:rPr>
        <w:rFonts w:ascii="Arial" w:hAnsi="Arial" w:hint="default"/>
      </w:rPr>
    </w:lvl>
    <w:lvl w:ilvl="6" w:tplc="6882B74C" w:tentative="1">
      <w:start w:val="1"/>
      <w:numFmt w:val="bullet"/>
      <w:lvlText w:val="•"/>
      <w:lvlJc w:val="left"/>
      <w:pPr>
        <w:tabs>
          <w:tab w:val="num" w:pos="5040"/>
        </w:tabs>
        <w:ind w:left="5040" w:hanging="360"/>
      </w:pPr>
      <w:rPr>
        <w:rFonts w:ascii="Arial" w:hAnsi="Arial" w:hint="default"/>
      </w:rPr>
    </w:lvl>
    <w:lvl w:ilvl="7" w:tplc="8A5EE106" w:tentative="1">
      <w:start w:val="1"/>
      <w:numFmt w:val="bullet"/>
      <w:lvlText w:val="•"/>
      <w:lvlJc w:val="left"/>
      <w:pPr>
        <w:tabs>
          <w:tab w:val="num" w:pos="5760"/>
        </w:tabs>
        <w:ind w:left="5760" w:hanging="360"/>
      </w:pPr>
      <w:rPr>
        <w:rFonts w:ascii="Arial" w:hAnsi="Arial" w:hint="default"/>
      </w:rPr>
    </w:lvl>
    <w:lvl w:ilvl="8" w:tplc="62B653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AC4C1D"/>
    <w:multiLevelType w:val="hybridMultilevel"/>
    <w:tmpl w:val="4D0A1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A62414"/>
    <w:multiLevelType w:val="hybridMultilevel"/>
    <w:tmpl w:val="88361032"/>
    <w:lvl w:ilvl="0" w:tplc="8BFCC08E">
      <w:start w:val="1"/>
      <w:numFmt w:val="bullet"/>
      <w:lvlText w:val="•"/>
      <w:lvlJc w:val="left"/>
      <w:pPr>
        <w:tabs>
          <w:tab w:val="num" w:pos="360"/>
        </w:tabs>
        <w:ind w:left="360" w:hanging="360"/>
      </w:pPr>
      <w:rPr>
        <w:rFonts w:ascii="Arial" w:hAnsi="Arial" w:hint="default"/>
      </w:rPr>
    </w:lvl>
    <w:lvl w:ilvl="1" w:tplc="B76C1EBE">
      <w:start w:val="36"/>
      <w:numFmt w:val="bullet"/>
      <w:lvlText w:val=""/>
      <w:lvlJc w:val="left"/>
      <w:pPr>
        <w:tabs>
          <w:tab w:val="num" w:pos="1080"/>
        </w:tabs>
        <w:ind w:left="1080" w:hanging="360"/>
      </w:pPr>
      <w:rPr>
        <w:rFonts w:ascii="Wingdings" w:hAnsi="Wingdings" w:hint="default"/>
      </w:rPr>
    </w:lvl>
    <w:lvl w:ilvl="2" w:tplc="B1E2D19C" w:tentative="1">
      <w:start w:val="1"/>
      <w:numFmt w:val="bullet"/>
      <w:lvlText w:val="•"/>
      <w:lvlJc w:val="left"/>
      <w:pPr>
        <w:tabs>
          <w:tab w:val="num" w:pos="1800"/>
        </w:tabs>
        <w:ind w:left="1800" w:hanging="360"/>
      </w:pPr>
      <w:rPr>
        <w:rFonts w:ascii="Arial" w:hAnsi="Arial" w:hint="default"/>
      </w:rPr>
    </w:lvl>
    <w:lvl w:ilvl="3" w:tplc="D5E2F366" w:tentative="1">
      <w:start w:val="1"/>
      <w:numFmt w:val="bullet"/>
      <w:lvlText w:val="•"/>
      <w:lvlJc w:val="left"/>
      <w:pPr>
        <w:tabs>
          <w:tab w:val="num" w:pos="2520"/>
        </w:tabs>
        <w:ind w:left="2520" w:hanging="360"/>
      </w:pPr>
      <w:rPr>
        <w:rFonts w:ascii="Arial" w:hAnsi="Arial" w:hint="default"/>
      </w:rPr>
    </w:lvl>
    <w:lvl w:ilvl="4" w:tplc="47AAC38A" w:tentative="1">
      <w:start w:val="1"/>
      <w:numFmt w:val="bullet"/>
      <w:lvlText w:val="•"/>
      <w:lvlJc w:val="left"/>
      <w:pPr>
        <w:tabs>
          <w:tab w:val="num" w:pos="3240"/>
        </w:tabs>
        <w:ind w:left="3240" w:hanging="360"/>
      </w:pPr>
      <w:rPr>
        <w:rFonts w:ascii="Arial" w:hAnsi="Arial" w:hint="default"/>
      </w:rPr>
    </w:lvl>
    <w:lvl w:ilvl="5" w:tplc="0092336C" w:tentative="1">
      <w:start w:val="1"/>
      <w:numFmt w:val="bullet"/>
      <w:lvlText w:val="•"/>
      <w:lvlJc w:val="left"/>
      <w:pPr>
        <w:tabs>
          <w:tab w:val="num" w:pos="3960"/>
        </w:tabs>
        <w:ind w:left="3960" w:hanging="360"/>
      </w:pPr>
      <w:rPr>
        <w:rFonts w:ascii="Arial" w:hAnsi="Arial" w:hint="default"/>
      </w:rPr>
    </w:lvl>
    <w:lvl w:ilvl="6" w:tplc="1DAEF0FA" w:tentative="1">
      <w:start w:val="1"/>
      <w:numFmt w:val="bullet"/>
      <w:lvlText w:val="•"/>
      <w:lvlJc w:val="left"/>
      <w:pPr>
        <w:tabs>
          <w:tab w:val="num" w:pos="4680"/>
        </w:tabs>
        <w:ind w:left="4680" w:hanging="360"/>
      </w:pPr>
      <w:rPr>
        <w:rFonts w:ascii="Arial" w:hAnsi="Arial" w:hint="default"/>
      </w:rPr>
    </w:lvl>
    <w:lvl w:ilvl="7" w:tplc="3A5678E8" w:tentative="1">
      <w:start w:val="1"/>
      <w:numFmt w:val="bullet"/>
      <w:lvlText w:val="•"/>
      <w:lvlJc w:val="left"/>
      <w:pPr>
        <w:tabs>
          <w:tab w:val="num" w:pos="5400"/>
        </w:tabs>
        <w:ind w:left="5400" w:hanging="360"/>
      </w:pPr>
      <w:rPr>
        <w:rFonts w:ascii="Arial" w:hAnsi="Arial" w:hint="default"/>
      </w:rPr>
    </w:lvl>
    <w:lvl w:ilvl="8" w:tplc="C608CB9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5380584"/>
    <w:multiLevelType w:val="hybridMultilevel"/>
    <w:tmpl w:val="D33AE388"/>
    <w:lvl w:ilvl="0" w:tplc="0416000F">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7D5DCE"/>
    <w:multiLevelType w:val="hybridMultilevel"/>
    <w:tmpl w:val="BE9A8F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E02893"/>
    <w:multiLevelType w:val="multilevel"/>
    <w:tmpl w:val="9C1C5D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172B54"/>
    <w:multiLevelType w:val="hybridMultilevel"/>
    <w:tmpl w:val="DA489F4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0CF744A"/>
    <w:multiLevelType w:val="hybridMultilevel"/>
    <w:tmpl w:val="170C8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4DC79C9"/>
    <w:multiLevelType w:val="hybridMultilevel"/>
    <w:tmpl w:val="C212D5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FA77FE"/>
    <w:multiLevelType w:val="hybridMultilevel"/>
    <w:tmpl w:val="4F48D63E"/>
    <w:lvl w:ilvl="0" w:tplc="9B5456B8">
      <w:start w:val="1"/>
      <w:numFmt w:val="bullet"/>
      <w:lvlText w:val="•"/>
      <w:lvlJc w:val="left"/>
      <w:pPr>
        <w:tabs>
          <w:tab w:val="num" w:pos="720"/>
        </w:tabs>
        <w:ind w:left="720" w:hanging="360"/>
      </w:pPr>
      <w:rPr>
        <w:rFonts w:ascii="Arial" w:hAnsi="Arial" w:hint="default"/>
      </w:rPr>
    </w:lvl>
    <w:lvl w:ilvl="1" w:tplc="2D242222" w:tentative="1">
      <w:start w:val="1"/>
      <w:numFmt w:val="bullet"/>
      <w:lvlText w:val="•"/>
      <w:lvlJc w:val="left"/>
      <w:pPr>
        <w:tabs>
          <w:tab w:val="num" w:pos="1440"/>
        </w:tabs>
        <w:ind w:left="1440" w:hanging="360"/>
      </w:pPr>
      <w:rPr>
        <w:rFonts w:ascii="Arial" w:hAnsi="Arial" w:hint="default"/>
      </w:rPr>
    </w:lvl>
    <w:lvl w:ilvl="2" w:tplc="E6D06EAA" w:tentative="1">
      <w:start w:val="1"/>
      <w:numFmt w:val="bullet"/>
      <w:lvlText w:val="•"/>
      <w:lvlJc w:val="left"/>
      <w:pPr>
        <w:tabs>
          <w:tab w:val="num" w:pos="2160"/>
        </w:tabs>
        <w:ind w:left="2160" w:hanging="360"/>
      </w:pPr>
      <w:rPr>
        <w:rFonts w:ascii="Arial" w:hAnsi="Arial" w:hint="default"/>
      </w:rPr>
    </w:lvl>
    <w:lvl w:ilvl="3" w:tplc="04B4B2CE" w:tentative="1">
      <w:start w:val="1"/>
      <w:numFmt w:val="bullet"/>
      <w:lvlText w:val="•"/>
      <w:lvlJc w:val="left"/>
      <w:pPr>
        <w:tabs>
          <w:tab w:val="num" w:pos="2880"/>
        </w:tabs>
        <w:ind w:left="2880" w:hanging="360"/>
      </w:pPr>
      <w:rPr>
        <w:rFonts w:ascii="Arial" w:hAnsi="Arial" w:hint="default"/>
      </w:rPr>
    </w:lvl>
    <w:lvl w:ilvl="4" w:tplc="4038F780" w:tentative="1">
      <w:start w:val="1"/>
      <w:numFmt w:val="bullet"/>
      <w:lvlText w:val="•"/>
      <w:lvlJc w:val="left"/>
      <w:pPr>
        <w:tabs>
          <w:tab w:val="num" w:pos="3600"/>
        </w:tabs>
        <w:ind w:left="3600" w:hanging="360"/>
      </w:pPr>
      <w:rPr>
        <w:rFonts w:ascii="Arial" w:hAnsi="Arial" w:hint="default"/>
      </w:rPr>
    </w:lvl>
    <w:lvl w:ilvl="5" w:tplc="6E82E964" w:tentative="1">
      <w:start w:val="1"/>
      <w:numFmt w:val="bullet"/>
      <w:lvlText w:val="•"/>
      <w:lvlJc w:val="left"/>
      <w:pPr>
        <w:tabs>
          <w:tab w:val="num" w:pos="4320"/>
        </w:tabs>
        <w:ind w:left="4320" w:hanging="360"/>
      </w:pPr>
      <w:rPr>
        <w:rFonts w:ascii="Arial" w:hAnsi="Arial" w:hint="default"/>
      </w:rPr>
    </w:lvl>
    <w:lvl w:ilvl="6" w:tplc="33746DFA" w:tentative="1">
      <w:start w:val="1"/>
      <w:numFmt w:val="bullet"/>
      <w:lvlText w:val="•"/>
      <w:lvlJc w:val="left"/>
      <w:pPr>
        <w:tabs>
          <w:tab w:val="num" w:pos="5040"/>
        </w:tabs>
        <w:ind w:left="5040" w:hanging="360"/>
      </w:pPr>
      <w:rPr>
        <w:rFonts w:ascii="Arial" w:hAnsi="Arial" w:hint="default"/>
      </w:rPr>
    </w:lvl>
    <w:lvl w:ilvl="7" w:tplc="69DA642C" w:tentative="1">
      <w:start w:val="1"/>
      <w:numFmt w:val="bullet"/>
      <w:lvlText w:val="•"/>
      <w:lvlJc w:val="left"/>
      <w:pPr>
        <w:tabs>
          <w:tab w:val="num" w:pos="5760"/>
        </w:tabs>
        <w:ind w:left="5760" w:hanging="360"/>
      </w:pPr>
      <w:rPr>
        <w:rFonts w:ascii="Arial" w:hAnsi="Arial" w:hint="default"/>
      </w:rPr>
    </w:lvl>
    <w:lvl w:ilvl="8" w:tplc="83CA40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2D48AE"/>
    <w:multiLevelType w:val="hybridMultilevel"/>
    <w:tmpl w:val="1EB2F14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4" w15:restartNumberingAfterBreak="0">
    <w:nsid w:val="4FAE0185"/>
    <w:multiLevelType w:val="hybridMultilevel"/>
    <w:tmpl w:val="110660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B97CCC"/>
    <w:multiLevelType w:val="hybridMultilevel"/>
    <w:tmpl w:val="CFDA6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33151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15612F"/>
    <w:multiLevelType w:val="hybridMultilevel"/>
    <w:tmpl w:val="226268B2"/>
    <w:lvl w:ilvl="0" w:tplc="033690E2">
      <w:start w:val="1"/>
      <w:numFmt w:val="bullet"/>
      <w:lvlText w:val="•"/>
      <w:lvlJc w:val="left"/>
      <w:pPr>
        <w:tabs>
          <w:tab w:val="num" w:pos="720"/>
        </w:tabs>
        <w:ind w:left="720" w:hanging="360"/>
      </w:pPr>
      <w:rPr>
        <w:rFonts w:ascii="Arial" w:hAnsi="Arial" w:hint="default"/>
      </w:rPr>
    </w:lvl>
    <w:lvl w:ilvl="1" w:tplc="D760FE6A" w:tentative="1">
      <w:start w:val="1"/>
      <w:numFmt w:val="bullet"/>
      <w:lvlText w:val="•"/>
      <w:lvlJc w:val="left"/>
      <w:pPr>
        <w:tabs>
          <w:tab w:val="num" w:pos="1440"/>
        </w:tabs>
        <w:ind w:left="1440" w:hanging="360"/>
      </w:pPr>
      <w:rPr>
        <w:rFonts w:ascii="Arial" w:hAnsi="Arial" w:hint="default"/>
      </w:rPr>
    </w:lvl>
    <w:lvl w:ilvl="2" w:tplc="F6E43442">
      <w:start w:val="1"/>
      <w:numFmt w:val="bullet"/>
      <w:lvlText w:val="•"/>
      <w:lvlJc w:val="left"/>
      <w:pPr>
        <w:tabs>
          <w:tab w:val="num" w:pos="2160"/>
        </w:tabs>
        <w:ind w:left="2160" w:hanging="360"/>
      </w:pPr>
      <w:rPr>
        <w:rFonts w:ascii="Arial" w:hAnsi="Arial" w:hint="default"/>
      </w:rPr>
    </w:lvl>
    <w:lvl w:ilvl="3" w:tplc="1AB29F4E" w:tentative="1">
      <w:start w:val="1"/>
      <w:numFmt w:val="bullet"/>
      <w:lvlText w:val="•"/>
      <w:lvlJc w:val="left"/>
      <w:pPr>
        <w:tabs>
          <w:tab w:val="num" w:pos="2880"/>
        </w:tabs>
        <w:ind w:left="2880" w:hanging="360"/>
      </w:pPr>
      <w:rPr>
        <w:rFonts w:ascii="Arial" w:hAnsi="Arial" w:hint="default"/>
      </w:rPr>
    </w:lvl>
    <w:lvl w:ilvl="4" w:tplc="FEFC936C" w:tentative="1">
      <w:start w:val="1"/>
      <w:numFmt w:val="bullet"/>
      <w:lvlText w:val="•"/>
      <w:lvlJc w:val="left"/>
      <w:pPr>
        <w:tabs>
          <w:tab w:val="num" w:pos="3600"/>
        </w:tabs>
        <w:ind w:left="3600" w:hanging="360"/>
      </w:pPr>
      <w:rPr>
        <w:rFonts w:ascii="Arial" w:hAnsi="Arial" w:hint="default"/>
      </w:rPr>
    </w:lvl>
    <w:lvl w:ilvl="5" w:tplc="32565DDA" w:tentative="1">
      <w:start w:val="1"/>
      <w:numFmt w:val="bullet"/>
      <w:lvlText w:val="•"/>
      <w:lvlJc w:val="left"/>
      <w:pPr>
        <w:tabs>
          <w:tab w:val="num" w:pos="4320"/>
        </w:tabs>
        <w:ind w:left="4320" w:hanging="360"/>
      </w:pPr>
      <w:rPr>
        <w:rFonts w:ascii="Arial" w:hAnsi="Arial" w:hint="default"/>
      </w:rPr>
    </w:lvl>
    <w:lvl w:ilvl="6" w:tplc="CAA4885C" w:tentative="1">
      <w:start w:val="1"/>
      <w:numFmt w:val="bullet"/>
      <w:lvlText w:val="•"/>
      <w:lvlJc w:val="left"/>
      <w:pPr>
        <w:tabs>
          <w:tab w:val="num" w:pos="5040"/>
        </w:tabs>
        <w:ind w:left="5040" w:hanging="360"/>
      </w:pPr>
      <w:rPr>
        <w:rFonts w:ascii="Arial" w:hAnsi="Arial" w:hint="default"/>
      </w:rPr>
    </w:lvl>
    <w:lvl w:ilvl="7" w:tplc="99F27832" w:tentative="1">
      <w:start w:val="1"/>
      <w:numFmt w:val="bullet"/>
      <w:lvlText w:val="•"/>
      <w:lvlJc w:val="left"/>
      <w:pPr>
        <w:tabs>
          <w:tab w:val="num" w:pos="5760"/>
        </w:tabs>
        <w:ind w:left="5760" w:hanging="360"/>
      </w:pPr>
      <w:rPr>
        <w:rFonts w:ascii="Arial" w:hAnsi="Arial" w:hint="default"/>
      </w:rPr>
    </w:lvl>
    <w:lvl w:ilvl="8" w:tplc="A63E4C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CE3157"/>
    <w:multiLevelType w:val="multilevel"/>
    <w:tmpl w:val="3698BBA6"/>
    <w:lvl w:ilvl="0">
      <w:start w:val="3"/>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DFD09D3"/>
    <w:multiLevelType w:val="hybridMultilevel"/>
    <w:tmpl w:val="374E0298"/>
    <w:lvl w:ilvl="0" w:tplc="0416000F">
      <w:start w:val="1"/>
      <w:numFmt w:val="decimal"/>
      <w:lvlText w:val="%1."/>
      <w:lvlJc w:val="left"/>
      <w:pPr>
        <w:ind w:left="766" w:hanging="360"/>
      </w:p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0" w15:restartNumberingAfterBreak="0">
    <w:nsid w:val="6954116F"/>
    <w:multiLevelType w:val="hybridMultilevel"/>
    <w:tmpl w:val="EF9CD23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15:restartNumberingAfterBreak="0">
    <w:nsid w:val="6BE7566F"/>
    <w:multiLevelType w:val="multilevel"/>
    <w:tmpl w:val="E5269052"/>
    <w:lvl w:ilvl="0">
      <w:start w:val="1"/>
      <w:numFmt w:val="decimal"/>
      <w:pStyle w:val="Ttulo1"/>
      <w:lvlText w:val="%1"/>
      <w:lvlJc w:val="left"/>
      <w:pPr>
        <w:ind w:left="432" w:hanging="432"/>
      </w:pPr>
      <w:rPr>
        <w:color w:val="44546A" w:themeColor="text2"/>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44546A" w:themeColor="text2"/>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6CC20A20"/>
    <w:multiLevelType w:val="hybridMultilevel"/>
    <w:tmpl w:val="231A21C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56518F"/>
    <w:multiLevelType w:val="hybridMultilevel"/>
    <w:tmpl w:val="D33AE388"/>
    <w:lvl w:ilvl="0" w:tplc="0416000F">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77607D2A"/>
    <w:multiLevelType w:val="hybridMultilevel"/>
    <w:tmpl w:val="1FDC878A"/>
    <w:lvl w:ilvl="0" w:tplc="5FB4ED1E">
      <w:start w:val="1"/>
      <w:numFmt w:val="bullet"/>
      <w:lvlText w:val="•"/>
      <w:lvlJc w:val="left"/>
      <w:pPr>
        <w:tabs>
          <w:tab w:val="num" w:pos="720"/>
        </w:tabs>
        <w:ind w:left="720" w:hanging="360"/>
      </w:pPr>
      <w:rPr>
        <w:rFonts w:ascii="Arial" w:hAnsi="Arial" w:hint="default"/>
      </w:rPr>
    </w:lvl>
    <w:lvl w:ilvl="1" w:tplc="4056A010" w:tentative="1">
      <w:start w:val="1"/>
      <w:numFmt w:val="bullet"/>
      <w:lvlText w:val="•"/>
      <w:lvlJc w:val="left"/>
      <w:pPr>
        <w:tabs>
          <w:tab w:val="num" w:pos="1440"/>
        </w:tabs>
        <w:ind w:left="1440" w:hanging="360"/>
      </w:pPr>
      <w:rPr>
        <w:rFonts w:ascii="Arial" w:hAnsi="Arial" w:hint="default"/>
      </w:rPr>
    </w:lvl>
    <w:lvl w:ilvl="2" w:tplc="2B92FA86" w:tentative="1">
      <w:start w:val="1"/>
      <w:numFmt w:val="bullet"/>
      <w:lvlText w:val="•"/>
      <w:lvlJc w:val="left"/>
      <w:pPr>
        <w:tabs>
          <w:tab w:val="num" w:pos="2160"/>
        </w:tabs>
        <w:ind w:left="2160" w:hanging="360"/>
      </w:pPr>
      <w:rPr>
        <w:rFonts w:ascii="Arial" w:hAnsi="Arial" w:hint="default"/>
      </w:rPr>
    </w:lvl>
    <w:lvl w:ilvl="3" w:tplc="7E8C45B6" w:tentative="1">
      <w:start w:val="1"/>
      <w:numFmt w:val="bullet"/>
      <w:lvlText w:val="•"/>
      <w:lvlJc w:val="left"/>
      <w:pPr>
        <w:tabs>
          <w:tab w:val="num" w:pos="2880"/>
        </w:tabs>
        <w:ind w:left="2880" w:hanging="360"/>
      </w:pPr>
      <w:rPr>
        <w:rFonts w:ascii="Arial" w:hAnsi="Arial" w:hint="default"/>
      </w:rPr>
    </w:lvl>
    <w:lvl w:ilvl="4" w:tplc="BC14F66C" w:tentative="1">
      <w:start w:val="1"/>
      <w:numFmt w:val="bullet"/>
      <w:lvlText w:val="•"/>
      <w:lvlJc w:val="left"/>
      <w:pPr>
        <w:tabs>
          <w:tab w:val="num" w:pos="3600"/>
        </w:tabs>
        <w:ind w:left="3600" w:hanging="360"/>
      </w:pPr>
      <w:rPr>
        <w:rFonts w:ascii="Arial" w:hAnsi="Arial" w:hint="default"/>
      </w:rPr>
    </w:lvl>
    <w:lvl w:ilvl="5" w:tplc="168C743E" w:tentative="1">
      <w:start w:val="1"/>
      <w:numFmt w:val="bullet"/>
      <w:lvlText w:val="•"/>
      <w:lvlJc w:val="left"/>
      <w:pPr>
        <w:tabs>
          <w:tab w:val="num" w:pos="4320"/>
        </w:tabs>
        <w:ind w:left="4320" w:hanging="360"/>
      </w:pPr>
      <w:rPr>
        <w:rFonts w:ascii="Arial" w:hAnsi="Arial" w:hint="default"/>
      </w:rPr>
    </w:lvl>
    <w:lvl w:ilvl="6" w:tplc="E612EACA" w:tentative="1">
      <w:start w:val="1"/>
      <w:numFmt w:val="bullet"/>
      <w:lvlText w:val="•"/>
      <w:lvlJc w:val="left"/>
      <w:pPr>
        <w:tabs>
          <w:tab w:val="num" w:pos="5040"/>
        </w:tabs>
        <w:ind w:left="5040" w:hanging="360"/>
      </w:pPr>
      <w:rPr>
        <w:rFonts w:ascii="Arial" w:hAnsi="Arial" w:hint="default"/>
      </w:rPr>
    </w:lvl>
    <w:lvl w:ilvl="7" w:tplc="EDA8C658" w:tentative="1">
      <w:start w:val="1"/>
      <w:numFmt w:val="bullet"/>
      <w:lvlText w:val="•"/>
      <w:lvlJc w:val="left"/>
      <w:pPr>
        <w:tabs>
          <w:tab w:val="num" w:pos="5760"/>
        </w:tabs>
        <w:ind w:left="5760" w:hanging="360"/>
      </w:pPr>
      <w:rPr>
        <w:rFonts w:ascii="Arial" w:hAnsi="Arial" w:hint="default"/>
      </w:rPr>
    </w:lvl>
    <w:lvl w:ilvl="8" w:tplc="9580DE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0330B6"/>
    <w:multiLevelType w:val="hybridMultilevel"/>
    <w:tmpl w:val="F7680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D32287F"/>
    <w:multiLevelType w:val="hybridMultilevel"/>
    <w:tmpl w:val="B85AE3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F03694B"/>
    <w:multiLevelType w:val="hybridMultilevel"/>
    <w:tmpl w:val="17DCB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2"/>
  </w:num>
  <w:num w:numId="3">
    <w:abstractNumId w:val="3"/>
  </w:num>
  <w:num w:numId="4">
    <w:abstractNumId w:val="24"/>
  </w:num>
  <w:num w:numId="5">
    <w:abstractNumId w:val="5"/>
  </w:num>
  <w:num w:numId="6">
    <w:abstractNumId w:val="2"/>
  </w:num>
  <w:num w:numId="7">
    <w:abstractNumId w:val="23"/>
  </w:num>
  <w:num w:numId="8">
    <w:abstractNumId w:val="20"/>
  </w:num>
  <w:num w:numId="9">
    <w:abstractNumId w:val="13"/>
  </w:num>
  <w:num w:numId="10">
    <w:abstractNumId w:val="9"/>
  </w:num>
  <w:num w:numId="11">
    <w:abstractNumId w:val="27"/>
  </w:num>
  <w:num w:numId="12">
    <w:abstractNumId w:val="18"/>
  </w:num>
  <w:num w:numId="13">
    <w:abstractNumId w:val="16"/>
  </w:num>
  <w:num w:numId="14">
    <w:abstractNumId w:val="0"/>
  </w:num>
  <w:num w:numId="15">
    <w:abstractNumId w:val="1"/>
  </w:num>
  <w:num w:numId="16">
    <w:abstractNumId w:val="14"/>
  </w:num>
  <w:num w:numId="17">
    <w:abstractNumId w:val="11"/>
  </w:num>
  <w:num w:numId="18">
    <w:abstractNumId w:val="7"/>
  </w:num>
  <w:num w:numId="19">
    <w:abstractNumId w:val="19"/>
  </w:num>
  <w:num w:numId="20">
    <w:abstractNumId w:val="22"/>
  </w:num>
  <w:num w:numId="21">
    <w:abstractNumId w:val="8"/>
  </w:num>
  <w:num w:numId="22">
    <w:abstractNumId w:val="21"/>
  </w:num>
  <w:num w:numId="23">
    <w:abstractNumId w:val="4"/>
  </w:num>
  <w:num w:numId="24">
    <w:abstractNumId w:val="15"/>
  </w:num>
  <w:num w:numId="25">
    <w:abstractNumId w:val="25"/>
  </w:num>
  <w:num w:numId="26">
    <w:abstractNumId w:val="6"/>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426"/>
    <w:rsid w:val="00002414"/>
    <w:rsid w:val="00045496"/>
    <w:rsid w:val="00051D96"/>
    <w:rsid w:val="00062EFA"/>
    <w:rsid w:val="00067097"/>
    <w:rsid w:val="00072BC9"/>
    <w:rsid w:val="00075094"/>
    <w:rsid w:val="000A1FAB"/>
    <w:rsid w:val="000A43D8"/>
    <w:rsid w:val="000D22FE"/>
    <w:rsid w:val="000D7345"/>
    <w:rsid w:val="000E1CEA"/>
    <w:rsid w:val="000E26FC"/>
    <w:rsid w:val="000F34EF"/>
    <w:rsid w:val="000F4B93"/>
    <w:rsid w:val="000F5173"/>
    <w:rsid w:val="00102A45"/>
    <w:rsid w:val="00123714"/>
    <w:rsid w:val="0012476E"/>
    <w:rsid w:val="00132C38"/>
    <w:rsid w:val="00134F10"/>
    <w:rsid w:val="0014582B"/>
    <w:rsid w:val="0016091F"/>
    <w:rsid w:val="0018613B"/>
    <w:rsid w:val="00190244"/>
    <w:rsid w:val="00191914"/>
    <w:rsid w:val="00192EE8"/>
    <w:rsid w:val="00195299"/>
    <w:rsid w:val="00197355"/>
    <w:rsid w:val="001A464C"/>
    <w:rsid w:val="001C4846"/>
    <w:rsid w:val="002013AA"/>
    <w:rsid w:val="00211C8C"/>
    <w:rsid w:val="00226B7B"/>
    <w:rsid w:val="00244E1F"/>
    <w:rsid w:val="00253CFA"/>
    <w:rsid w:val="0026433E"/>
    <w:rsid w:val="00264EA1"/>
    <w:rsid w:val="00266148"/>
    <w:rsid w:val="00267D40"/>
    <w:rsid w:val="00270C08"/>
    <w:rsid w:val="0027235A"/>
    <w:rsid w:val="00287A12"/>
    <w:rsid w:val="00293086"/>
    <w:rsid w:val="002A5EF9"/>
    <w:rsid w:val="002D7771"/>
    <w:rsid w:val="002E2A7E"/>
    <w:rsid w:val="002F25CA"/>
    <w:rsid w:val="002F426A"/>
    <w:rsid w:val="002F635C"/>
    <w:rsid w:val="00300F92"/>
    <w:rsid w:val="00301DFC"/>
    <w:rsid w:val="003032FD"/>
    <w:rsid w:val="00305A24"/>
    <w:rsid w:val="00310039"/>
    <w:rsid w:val="003141B8"/>
    <w:rsid w:val="0034701E"/>
    <w:rsid w:val="0036142E"/>
    <w:rsid w:val="00362EC1"/>
    <w:rsid w:val="003731FB"/>
    <w:rsid w:val="00395E77"/>
    <w:rsid w:val="003A559D"/>
    <w:rsid w:val="003B4B0D"/>
    <w:rsid w:val="003B7580"/>
    <w:rsid w:val="003C3F82"/>
    <w:rsid w:val="003E5DA8"/>
    <w:rsid w:val="003F24F1"/>
    <w:rsid w:val="003F6107"/>
    <w:rsid w:val="003F7755"/>
    <w:rsid w:val="00412C4A"/>
    <w:rsid w:val="0041546A"/>
    <w:rsid w:val="0042217A"/>
    <w:rsid w:val="00424A9C"/>
    <w:rsid w:val="00425421"/>
    <w:rsid w:val="004438C9"/>
    <w:rsid w:val="00446E27"/>
    <w:rsid w:val="004521E1"/>
    <w:rsid w:val="0046388B"/>
    <w:rsid w:val="00483F20"/>
    <w:rsid w:val="004876B1"/>
    <w:rsid w:val="004B040B"/>
    <w:rsid w:val="004B2C2B"/>
    <w:rsid w:val="004B3B42"/>
    <w:rsid w:val="004C20AC"/>
    <w:rsid w:val="004D13AD"/>
    <w:rsid w:val="004D1769"/>
    <w:rsid w:val="004E31B0"/>
    <w:rsid w:val="004E39CA"/>
    <w:rsid w:val="004F4596"/>
    <w:rsid w:val="004F72B1"/>
    <w:rsid w:val="005005B1"/>
    <w:rsid w:val="0050706A"/>
    <w:rsid w:val="00515872"/>
    <w:rsid w:val="00516AB2"/>
    <w:rsid w:val="00516E88"/>
    <w:rsid w:val="00527DA1"/>
    <w:rsid w:val="005753DA"/>
    <w:rsid w:val="00576270"/>
    <w:rsid w:val="00577000"/>
    <w:rsid w:val="00585565"/>
    <w:rsid w:val="005953A0"/>
    <w:rsid w:val="005A75AF"/>
    <w:rsid w:val="005B28B6"/>
    <w:rsid w:val="005D163A"/>
    <w:rsid w:val="005E529B"/>
    <w:rsid w:val="005E7912"/>
    <w:rsid w:val="00622815"/>
    <w:rsid w:val="00623676"/>
    <w:rsid w:val="00631E18"/>
    <w:rsid w:val="00641428"/>
    <w:rsid w:val="006560C7"/>
    <w:rsid w:val="006765F4"/>
    <w:rsid w:val="00687BFD"/>
    <w:rsid w:val="00695F71"/>
    <w:rsid w:val="006A19C8"/>
    <w:rsid w:val="006B0FB7"/>
    <w:rsid w:val="006B2E30"/>
    <w:rsid w:val="006C058C"/>
    <w:rsid w:val="006C4966"/>
    <w:rsid w:val="006E36E4"/>
    <w:rsid w:val="006E3C42"/>
    <w:rsid w:val="006F0982"/>
    <w:rsid w:val="006F4D3F"/>
    <w:rsid w:val="006F68F8"/>
    <w:rsid w:val="00707BB0"/>
    <w:rsid w:val="00710B4C"/>
    <w:rsid w:val="007126EC"/>
    <w:rsid w:val="00713171"/>
    <w:rsid w:val="00734CD1"/>
    <w:rsid w:val="00751727"/>
    <w:rsid w:val="007740D7"/>
    <w:rsid w:val="00775805"/>
    <w:rsid w:val="0078180D"/>
    <w:rsid w:val="007848F7"/>
    <w:rsid w:val="00793E4D"/>
    <w:rsid w:val="007A1C3A"/>
    <w:rsid w:val="007B0E6F"/>
    <w:rsid w:val="007B1153"/>
    <w:rsid w:val="007B268C"/>
    <w:rsid w:val="007B554C"/>
    <w:rsid w:val="007C3E88"/>
    <w:rsid w:val="007D7FE1"/>
    <w:rsid w:val="00802D06"/>
    <w:rsid w:val="00803F15"/>
    <w:rsid w:val="0081108C"/>
    <w:rsid w:val="008173D1"/>
    <w:rsid w:val="00832A92"/>
    <w:rsid w:val="0083784A"/>
    <w:rsid w:val="00841540"/>
    <w:rsid w:val="00864AC5"/>
    <w:rsid w:val="00864ADF"/>
    <w:rsid w:val="00870D40"/>
    <w:rsid w:val="008777E1"/>
    <w:rsid w:val="008815C6"/>
    <w:rsid w:val="00883A95"/>
    <w:rsid w:val="00885249"/>
    <w:rsid w:val="00896418"/>
    <w:rsid w:val="00896C95"/>
    <w:rsid w:val="008A61E9"/>
    <w:rsid w:val="008C01A0"/>
    <w:rsid w:val="00927762"/>
    <w:rsid w:val="00931DF3"/>
    <w:rsid w:val="0094135C"/>
    <w:rsid w:val="009468AE"/>
    <w:rsid w:val="00955C19"/>
    <w:rsid w:val="00972A54"/>
    <w:rsid w:val="00985117"/>
    <w:rsid w:val="009A755C"/>
    <w:rsid w:val="009A75C1"/>
    <w:rsid w:val="009A7648"/>
    <w:rsid w:val="009B145D"/>
    <w:rsid w:val="009B3B61"/>
    <w:rsid w:val="009B699E"/>
    <w:rsid w:val="009C426F"/>
    <w:rsid w:val="009D0EF7"/>
    <w:rsid w:val="009E30C1"/>
    <w:rsid w:val="009F5533"/>
    <w:rsid w:val="00A0366C"/>
    <w:rsid w:val="00A13FFF"/>
    <w:rsid w:val="00A275D1"/>
    <w:rsid w:val="00A334F1"/>
    <w:rsid w:val="00A52149"/>
    <w:rsid w:val="00A83A4F"/>
    <w:rsid w:val="00A86177"/>
    <w:rsid w:val="00A95157"/>
    <w:rsid w:val="00AA2D25"/>
    <w:rsid w:val="00AA5D11"/>
    <w:rsid w:val="00AB160C"/>
    <w:rsid w:val="00AB3555"/>
    <w:rsid w:val="00AB4A70"/>
    <w:rsid w:val="00AB69A3"/>
    <w:rsid w:val="00AC0375"/>
    <w:rsid w:val="00AC33CD"/>
    <w:rsid w:val="00AC7908"/>
    <w:rsid w:val="00AE0AC0"/>
    <w:rsid w:val="00AF224F"/>
    <w:rsid w:val="00AF522C"/>
    <w:rsid w:val="00B04C47"/>
    <w:rsid w:val="00B137CF"/>
    <w:rsid w:val="00B14E77"/>
    <w:rsid w:val="00B243D6"/>
    <w:rsid w:val="00B344B8"/>
    <w:rsid w:val="00B5070A"/>
    <w:rsid w:val="00B60B7D"/>
    <w:rsid w:val="00B632DD"/>
    <w:rsid w:val="00B75F0D"/>
    <w:rsid w:val="00B77E5C"/>
    <w:rsid w:val="00B82665"/>
    <w:rsid w:val="00B829E0"/>
    <w:rsid w:val="00B836E1"/>
    <w:rsid w:val="00BA2FB9"/>
    <w:rsid w:val="00BA3136"/>
    <w:rsid w:val="00BA6677"/>
    <w:rsid w:val="00BB3951"/>
    <w:rsid w:val="00BB4CBE"/>
    <w:rsid w:val="00BB4F6B"/>
    <w:rsid w:val="00BB6299"/>
    <w:rsid w:val="00BD45FF"/>
    <w:rsid w:val="00BD4655"/>
    <w:rsid w:val="00BD5C54"/>
    <w:rsid w:val="00BE1F4E"/>
    <w:rsid w:val="00BF442A"/>
    <w:rsid w:val="00BF54CB"/>
    <w:rsid w:val="00BF5EAC"/>
    <w:rsid w:val="00C02502"/>
    <w:rsid w:val="00C12025"/>
    <w:rsid w:val="00C12A1F"/>
    <w:rsid w:val="00C13039"/>
    <w:rsid w:val="00C136C2"/>
    <w:rsid w:val="00C13C74"/>
    <w:rsid w:val="00C22A8E"/>
    <w:rsid w:val="00C43795"/>
    <w:rsid w:val="00C446DE"/>
    <w:rsid w:val="00C46FED"/>
    <w:rsid w:val="00C56304"/>
    <w:rsid w:val="00C60903"/>
    <w:rsid w:val="00C66834"/>
    <w:rsid w:val="00C677EE"/>
    <w:rsid w:val="00C7281C"/>
    <w:rsid w:val="00C77896"/>
    <w:rsid w:val="00C84457"/>
    <w:rsid w:val="00C845DE"/>
    <w:rsid w:val="00C9183C"/>
    <w:rsid w:val="00C95BFC"/>
    <w:rsid w:val="00C9730F"/>
    <w:rsid w:val="00CA4E32"/>
    <w:rsid w:val="00CA71C8"/>
    <w:rsid w:val="00CB1E8E"/>
    <w:rsid w:val="00CB3977"/>
    <w:rsid w:val="00CC3792"/>
    <w:rsid w:val="00CC3E23"/>
    <w:rsid w:val="00D004AE"/>
    <w:rsid w:val="00D0382F"/>
    <w:rsid w:val="00D1084A"/>
    <w:rsid w:val="00D13FB8"/>
    <w:rsid w:val="00D2221E"/>
    <w:rsid w:val="00D242D1"/>
    <w:rsid w:val="00D372BA"/>
    <w:rsid w:val="00D44FE3"/>
    <w:rsid w:val="00D5014C"/>
    <w:rsid w:val="00D567EB"/>
    <w:rsid w:val="00D617DD"/>
    <w:rsid w:val="00D71000"/>
    <w:rsid w:val="00D715F1"/>
    <w:rsid w:val="00D81CCD"/>
    <w:rsid w:val="00D81DF8"/>
    <w:rsid w:val="00D87426"/>
    <w:rsid w:val="00D92456"/>
    <w:rsid w:val="00D935B8"/>
    <w:rsid w:val="00DA035A"/>
    <w:rsid w:val="00DA05FC"/>
    <w:rsid w:val="00DA46DB"/>
    <w:rsid w:val="00DA5D4A"/>
    <w:rsid w:val="00DB224E"/>
    <w:rsid w:val="00DB5CA9"/>
    <w:rsid w:val="00DE66AE"/>
    <w:rsid w:val="00DE6AEC"/>
    <w:rsid w:val="00E22307"/>
    <w:rsid w:val="00E32297"/>
    <w:rsid w:val="00E430FC"/>
    <w:rsid w:val="00E51512"/>
    <w:rsid w:val="00E55318"/>
    <w:rsid w:val="00E55F9A"/>
    <w:rsid w:val="00E601D4"/>
    <w:rsid w:val="00E6150C"/>
    <w:rsid w:val="00E64124"/>
    <w:rsid w:val="00E71677"/>
    <w:rsid w:val="00E73046"/>
    <w:rsid w:val="00E81B0B"/>
    <w:rsid w:val="00E86586"/>
    <w:rsid w:val="00E90C4A"/>
    <w:rsid w:val="00E955F0"/>
    <w:rsid w:val="00E97A92"/>
    <w:rsid w:val="00EC6BB5"/>
    <w:rsid w:val="00ED11E8"/>
    <w:rsid w:val="00ED172E"/>
    <w:rsid w:val="00EE2CA5"/>
    <w:rsid w:val="00EF71C5"/>
    <w:rsid w:val="00EF7905"/>
    <w:rsid w:val="00F17701"/>
    <w:rsid w:val="00F3222B"/>
    <w:rsid w:val="00F52A76"/>
    <w:rsid w:val="00F674E7"/>
    <w:rsid w:val="00F71CF9"/>
    <w:rsid w:val="00F754B3"/>
    <w:rsid w:val="00FB0A8E"/>
    <w:rsid w:val="00FD78C7"/>
    <w:rsid w:val="00FE784F"/>
    <w:rsid w:val="00FF0C77"/>
    <w:rsid w:val="00FF2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167D5"/>
  <w15:docId w15:val="{100B2F50-21C3-479D-9C87-BD1A06E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E18"/>
    <w:pPr>
      <w:jc w:val="both"/>
    </w:pPr>
    <w:rPr>
      <w:rFonts w:asciiTheme="majorHAnsi" w:hAnsiTheme="majorHAnsi"/>
      <w:color w:val="7F7F7F" w:themeColor="text1" w:themeTint="80"/>
      <w:sz w:val="20"/>
    </w:rPr>
  </w:style>
  <w:style w:type="paragraph" w:styleId="Ttulo1">
    <w:name w:val="heading 1"/>
    <w:basedOn w:val="Normal"/>
    <w:next w:val="Normal"/>
    <w:link w:val="Ttulo1Char"/>
    <w:uiPriority w:val="9"/>
    <w:qFormat/>
    <w:rsid w:val="006B0FB7"/>
    <w:pPr>
      <w:keepNext/>
      <w:keepLines/>
      <w:numPr>
        <w:numId w:val="22"/>
      </w:numPr>
      <w:spacing w:beforeLines="120" w:before="288" w:after="0" w:line="240" w:lineRule="auto"/>
      <w:outlineLvl w:val="0"/>
    </w:pPr>
    <w:rPr>
      <w:rFonts w:eastAsiaTheme="majorEastAsia" w:cstheme="majorBidi"/>
      <w:b/>
      <w:color w:val="ED7D31"/>
      <w:szCs w:val="20"/>
    </w:rPr>
  </w:style>
  <w:style w:type="paragraph" w:styleId="Ttulo2">
    <w:name w:val="heading 2"/>
    <w:basedOn w:val="Normal"/>
    <w:next w:val="Normal"/>
    <w:link w:val="Ttulo2Char"/>
    <w:autoRedefine/>
    <w:uiPriority w:val="9"/>
    <w:unhideWhenUsed/>
    <w:qFormat/>
    <w:rsid w:val="00226B7B"/>
    <w:pPr>
      <w:keepNext/>
      <w:keepLines/>
      <w:numPr>
        <w:ilvl w:val="1"/>
        <w:numId w:val="22"/>
      </w:numPr>
      <w:outlineLvl w:val="1"/>
    </w:pPr>
    <w:rPr>
      <w:rFonts w:eastAsiaTheme="majorEastAsia" w:cstheme="majorBidi"/>
      <w:b/>
      <w:color w:val="44546A" w:themeColor="text2"/>
      <w:szCs w:val="26"/>
    </w:rPr>
  </w:style>
  <w:style w:type="paragraph" w:styleId="Ttulo3">
    <w:name w:val="heading 3"/>
    <w:basedOn w:val="Normal"/>
    <w:next w:val="Normal"/>
    <w:link w:val="Ttulo3Char"/>
    <w:uiPriority w:val="9"/>
    <w:unhideWhenUsed/>
    <w:qFormat/>
    <w:rsid w:val="00C02502"/>
    <w:pPr>
      <w:keepNext/>
      <w:keepLines/>
      <w:numPr>
        <w:ilvl w:val="2"/>
        <w:numId w:val="22"/>
      </w:numPr>
      <w:spacing w:before="40" w:after="0"/>
      <w:outlineLvl w:val="2"/>
    </w:pPr>
    <w:rPr>
      <w:rFonts w:eastAsiaTheme="majorEastAsia" w:cstheme="majorBidi"/>
      <w:b/>
      <w:color w:val="ED7D31"/>
      <w:szCs w:val="24"/>
    </w:rPr>
  </w:style>
  <w:style w:type="paragraph" w:styleId="Ttulo4">
    <w:name w:val="heading 4"/>
    <w:basedOn w:val="Normal"/>
    <w:next w:val="Normal"/>
    <w:link w:val="Ttulo4Char"/>
    <w:uiPriority w:val="9"/>
    <w:unhideWhenUsed/>
    <w:qFormat/>
    <w:rsid w:val="00C95BFC"/>
    <w:pPr>
      <w:keepNext/>
      <w:keepLines/>
      <w:numPr>
        <w:ilvl w:val="3"/>
        <w:numId w:val="22"/>
      </w:numPr>
      <w:spacing w:before="40" w:after="0"/>
      <w:outlineLvl w:val="3"/>
    </w:pPr>
    <w:rPr>
      <w:rFonts w:eastAsiaTheme="majorEastAsia" w:cstheme="majorBidi"/>
      <w:i/>
      <w:iCs/>
      <w:color w:val="ED7D31"/>
    </w:rPr>
  </w:style>
  <w:style w:type="paragraph" w:styleId="Ttulo5">
    <w:name w:val="heading 5"/>
    <w:basedOn w:val="Normal"/>
    <w:next w:val="Normal"/>
    <w:link w:val="Ttulo5Char"/>
    <w:uiPriority w:val="9"/>
    <w:semiHidden/>
    <w:unhideWhenUsed/>
    <w:qFormat/>
    <w:rsid w:val="006B0FB7"/>
    <w:pPr>
      <w:keepNext/>
      <w:keepLines/>
      <w:numPr>
        <w:ilvl w:val="4"/>
        <w:numId w:val="22"/>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6B0FB7"/>
    <w:pPr>
      <w:keepNext/>
      <w:keepLines/>
      <w:numPr>
        <w:ilvl w:val="5"/>
        <w:numId w:val="22"/>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har"/>
    <w:uiPriority w:val="9"/>
    <w:semiHidden/>
    <w:unhideWhenUsed/>
    <w:qFormat/>
    <w:rsid w:val="006B0FB7"/>
    <w:pPr>
      <w:keepNext/>
      <w:keepLines/>
      <w:numPr>
        <w:ilvl w:val="6"/>
        <w:numId w:val="22"/>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har"/>
    <w:uiPriority w:val="9"/>
    <w:semiHidden/>
    <w:unhideWhenUsed/>
    <w:qFormat/>
    <w:rsid w:val="006B0FB7"/>
    <w:pPr>
      <w:keepNext/>
      <w:keepLines/>
      <w:numPr>
        <w:ilvl w:val="7"/>
        <w:numId w:val="22"/>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0FB7"/>
    <w:pPr>
      <w:keepNext/>
      <w:keepLines/>
      <w:numPr>
        <w:ilvl w:val="8"/>
        <w:numId w:val="22"/>
      </w:numPr>
      <w:spacing w:before="40" w:after="0"/>
      <w:outlineLvl w:val="8"/>
    </w:pPr>
    <w:rPr>
      <w:rFonts w:eastAsiaTheme="majorEastAsia"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426"/>
  </w:style>
  <w:style w:type="paragraph" w:styleId="Rodap">
    <w:name w:val="footer"/>
    <w:basedOn w:val="Normal"/>
    <w:link w:val="RodapChar"/>
    <w:uiPriority w:val="99"/>
    <w:unhideWhenUsed/>
    <w:rsid w:val="00D87426"/>
    <w:pPr>
      <w:tabs>
        <w:tab w:val="center" w:pos="4252"/>
        <w:tab w:val="right" w:pos="8504"/>
      </w:tabs>
      <w:spacing w:after="0" w:line="240" w:lineRule="auto"/>
    </w:pPr>
  </w:style>
  <w:style w:type="character" w:customStyle="1" w:styleId="RodapChar">
    <w:name w:val="Rodapé Char"/>
    <w:basedOn w:val="Fontepargpadro"/>
    <w:link w:val="Rodap"/>
    <w:uiPriority w:val="99"/>
    <w:rsid w:val="00D87426"/>
  </w:style>
  <w:style w:type="paragraph" w:styleId="NormalWeb">
    <w:name w:val="Normal (Web)"/>
    <w:basedOn w:val="Normal"/>
    <w:uiPriority w:val="99"/>
    <w:semiHidden/>
    <w:unhideWhenUsed/>
    <w:rsid w:val="00D8742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1Char">
    <w:name w:val="Título 1 Char"/>
    <w:basedOn w:val="Fontepargpadro"/>
    <w:link w:val="Ttulo1"/>
    <w:uiPriority w:val="9"/>
    <w:rsid w:val="006B0FB7"/>
    <w:rPr>
      <w:rFonts w:asciiTheme="majorHAnsi" w:eastAsiaTheme="majorEastAsia" w:hAnsiTheme="majorHAnsi" w:cstheme="majorBidi"/>
      <w:b/>
      <w:color w:val="ED7D31"/>
      <w:sz w:val="20"/>
      <w:szCs w:val="20"/>
    </w:rPr>
  </w:style>
  <w:style w:type="character" w:customStyle="1" w:styleId="Ttulo2Char">
    <w:name w:val="Título 2 Char"/>
    <w:basedOn w:val="Fontepargpadro"/>
    <w:link w:val="Ttulo2"/>
    <w:uiPriority w:val="9"/>
    <w:rsid w:val="00226B7B"/>
    <w:rPr>
      <w:rFonts w:asciiTheme="majorHAnsi" w:eastAsiaTheme="majorEastAsia" w:hAnsiTheme="majorHAnsi" w:cstheme="majorBidi"/>
      <w:b/>
      <w:color w:val="44546A" w:themeColor="text2"/>
      <w:sz w:val="20"/>
      <w:szCs w:val="26"/>
    </w:rPr>
  </w:style>
  <w:style w:type="paragraph" w:styleId="Textodebalo">
    <w:name w:val="Balloon Text"/>
    <w:basedOn w:val="Normal"/>
    <w:link w:val="TextodebaloChar"/>
    <w:uiPriority w:val="99"/>
    <w:semiHidden/>
    <w:unhideWhenUsed/>
    <w:rsid w:val="00CC3E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3E23"/>
    <w:rPr>
      <w:rFonts w:ascii="Segoe UI" w:hAnsi="Segoe UI" w:cs="Segoe UI"/>
      <w:sz w:val="18"/>
      <w:szCs w:val="18"/>
    </w:rPr>
  </w:style>
  <w:style w:type="paragraph" w:styleId="Sumrio1">
    <w:name w:val="toc 1"/>
    <w:basedOn w:val="Normal"/>
    <w:next w:val="Normal"/>
    <w:autoRedefine/>
    <w:uiPriority w:val="39"/>
    <w:unhideWhenUsed/>
    <w:rsid w:val="00CC3E23"/>
    <w:pPr>
      <w:spacing w:after="100"/>
    </w:pPr>
  </w:style>
  <w:style w:type="character" w:styleId="Hyperlink">
    <w:name w:val="Hyperlink"/>
    <w:basedOn w:val="Fontepargpadro"/>
    <w:uiPriority w:val="99"/>
    <w:unhideWhenUsed/>
    <w:rsid w:val="00CC3E23"/>
    <w:rPr>
      <w:color w:val="0563C1" w:themeColor="hyperlink"/>
      <w:u w:val="single"/>
    </w:rPr>
  </w:style>
  <w:style w:type="paragraph" w:styleId="CabealhodoSumrio">
    <w:name w:val="TOC Heading"/>
    <w:basedOn w:val="Ttulo1"/>
    <w:next w:val="Normal"/>
    <w:uiPriority w:val="39"/>
    <w:unhideWhenUsed/>
    <w:qFormat/>
    <w:rsid w:val="00CC3E23"/>
    <w:pPr>
      <w:outlineLvl w:val="9"/>
    </w:pPr>
    <w:rPr>
      <w:b w:val="0"/>
      <w:color w:val="2E74B5" w:themeColor="accent1" w:themeShade="BF"/>
      <w:sz w:val="32"/>
      <w:lang w:eastAsia="pt-BR"/>
    </w:rPr>
  </w:style>
  <w:style w:type="paragraph" w:styleId="Sumrio2">
    <w:name w:val="toc 2"/>
    <w:basedOn w:val="Normal"/>
    <w:next w:val="Normal"/>
    <w:autoRedefine/>
    <w:uiPriority w:val="39"/>
    <w:unhideWhenUsed/>
    <w:rsid w:val="00BB3951"/>
    <w:pPr>
      <w:spacing w:after="100"/>
      <w:ind w:left="220"/>
    </w:pPr>
  </w:style>
  <w:style w:type="paragraph" w:customStyle="1" w:styleId="Default">
    <w:name w:val="Default"/>
    <w:rsid w:val="00B5070A"/>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A5D11"/>
    <w:pPr>
      <w:ind w:left="720"/>
      <w:contextualSpacing/>
    </w:pPr>
  </w:style>
  <w:style w:type="table" w:customStyle="1" w:styleId="TabeladeLista1Clara1">
    <w:name w:val="Tabela de Lista 1 Clara1"/>
    <w:basedOn w:val="Tabelanormal"/>
    <w:uiPriority w:val="46"/>
    <w:rsid w:val="004254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elanormal"/>
    <w:uiPriority w:val="47"/>
    <w:rsid w:val="004254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946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2-nfase31">
    <w:name w:val="Tabela de Grade 2 - Ênfase 31"/>
    <w:basedOn w:val="Tabelanormal"/>
    <w:uiPriority w:val="47"/>
    <w:rsid w:val="00AB16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AB1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Fontepargpadro"/>
    <w:rsid w:val="00191914"/>
  </w:style>
  <w:style w:type="character" w:customStyle="1" w:styleId="Ttulo3Char">
    <w:name w:val="Título 3 Char"/>
    <w:basedOn w:val="Fontepargpadro"/>
    <w:link w:val="Ttulo3"/>
    <w:uiPriority w:val="9"/>
    <w:rsid w:val="00C02502"/>
    <w:rPr>
      <w:rFonts w:asciiTheme="majorHAnsi" w:eastAsiaTheme="majorEastAsia" w:hAnsiTheme="majorHAnsi" w:cstheme="majorBidi"/>
      <w:b/>
      <w:color w:val="ED7D31"/>
      <w:sz w:val="20"/>
      <w:szCs w:val="24"/>
    </w:rPr>
  </w:style>
  <w:style w:type="character" w:customStyle="1" w:styleId="Ttulo4Char">
    <w:name w:val="Título 4 Char"/>
    <w:basedOn w:val="Fontepargpadro"/>
    <w:link w:val="Ttulo4"/>
    <w:uiPriority w:val="9"/>
    <w:rsid w:val="00C95BFC"/>
    <w:rPr>
      <w:rFonts w:asciiTheme="majorHAnsi" w:eastAsiaTheme="majorEastAsia" w:hAnsiTheme="majorHAnsi" w:cstheme="majorBidi"/>
      <w:i/>
      <w:iCs/>
      <w:color w:val="ED7D31"/>
      <w:sz w:val="20"/>
    </w:rPr>
  </w:style>
  <w:style w:type="character" w:customStyle="1" w:styleId="Ttulo5Char">
    <w:name w:val="Título 5 Char"/>
    <w:basedOn w:val="Fontepargpadro"/>
    <w:link w:val="Ttulo5"/>
    <w:uiPriority w:val="9"/>
    <w:semiHidden/>
    <w:rsid w:val="006B0FB7"/>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6B0FB7"/>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6B0FB7"/>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6B0FB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0FB7"/>
    <w:rPr>
      <w:rFonts w:asciiTheme="majorHAnsi" w:eastAsiaTheme="majorEastAsia" w:hAnsiTheme="majorHAnsi" w:cstheme="majorBidi"/>
      <w:i/>
      <w:iCs/>
      <w:color w:val="272727" w:themeColor="text1" w:themeTint="D8"/>
      <w:sz w:val="21"/>
      <w:szCs w:val="21"/>
    </w:rPr>
  </w:style>
  <w:style w:type="paragraph" w:styleId="Reviso">
    <w:name w:val="Revision"/>
    <w:hidden/>
    <w:uiPriority w:val="99"/>
    <w:semiHidden/>
    <w:rsid w:val="003032FD"/>
    <w:pPr>
      <w:spacing w:after="0" w:line="240" w:lineRule="auto"/>
    </w:pPr>
  </w:style>
  <w:style w:type="character" w:styleId="TextodoEspaoReservado">
    <w:name w:val="Placeholder Text"/>
    <w:basedOn w:val="Fontepargpadro"/>
    <w:uiPriority w:val="99"/>
    <w:semiHidden/>
    <w:rsid w:val="00C13039"/>
    <w:rPr>
      <w:color w:val="808080"/>
    </w:rPr>
  </w:style>
  <w:style w:type="paragraph" w:styleId="Sumrio3">
    <w:name w:val="toc 3"/>
    <w:basedOn w:val="Normal"/>
    <w:next w:val="Normal"/>
    <w:autoRedefine/>
    <w:uiPriority w:val="39"/>
    <w:unhideWhenUsed/>
    <w:rsid w:val="00B137CF"/>
    <w:pPr>
      <w:spacing w:after="100"/>
      <w:ind w:left="400"/>
    </w:pPr>
  </w:style>
  <w:style w:type="character" w:styleId="Refdecomentrio">
    <w:name w:val="annotation reference"/>
    <w:basedOn w:val="Fontepargpadro"/>
    <w:uiPriority w:val="99"/>
    <w:semiHidden/>
    <w:unhideWhenUsed/>
    <w:rsid w:val="00896418"/>
    <w:rPr>
      <w:sz w:val="16"/>
      <w:szCs w:val="16"/>
    </w:rPr>
  </w:style>
  <w:style w:type="paragraph" w:styleId="Textodecomentrio">
    <w:name w:val="annotation text"/>
    <w:basedOn w:val="Normal"/>
    <w:link w:val="TextodecomentrioChar"/>
    <w:uiPriority w:val="99"/>
    <w:semiHidden/>
    <w:unhideWhenUsed/>
    <w:rsid w:val="00896418"/>
    <w:pPr>
      <w:spacing w:line="240" w:lineRule="auto"/>
    </w:pPr>
    <w:rPr>
      <w:szCs w:val="20"/>
    </w:rPr>
  </w:style>
  <w:style w:type="character" w:customStyle="1" w:styleId="TextodecomentrioChar">
    <w:name w:val="Texto de comentário Char"/>
    <w:basedOn w:val="Fontepargpadro"/>
    <w:link w:val="Textodecomentrio"/>
    <w:uiPriority w:val="99"/>
    <w:semiHidden/>
    <w:rsid w:val="00896418"/>
    <w:rPr>
      <w:rFonts w:asciiTheme="majorHAnsi" w:hAnsiTheme="majorHAnsi"/>
      <w:color w:val="7F7F7F" w:themeColor="text1" w:themeTint="80"/>
      <w:sz w:val="20"/>
      <w:szCs w:val="20"/>
    </w:rPr>
  </w:style>
  <w:style w:type="paragraph" w:styleId="Assuntodocomentrio">
    <w:name w:val="annotation subject"/>
    <w:basedOn w:val="Textodecomentrio"/>
    <w:next w:val="Textodecomentrio"/>
    <w:link w:val="AssuntodocomentrioChar"/>
    <w:uiPriority w:val="99"/>
    <w:semiHidden/>
    <w:unhideWhenUsed/>
    <w:rsid w:val="00896418"/>
    <w:rPr>
      <w:b/>
      <w:bCs/>
    </w:rPr>
  </w:style>
  <w:style w:type="character" w:customStyle="1" w:styleId="AssuntodocomentrioChar">
    <w:name w:val="Assunto do comentário Char"/>
    <w:basedOn w:val="TextodecomentrioChar"/>
    <w:link w:val="Assuntodocomentrio"/>
    <w:uiPriority w:val="99"/>
    <w:semiHidden/>
    <w:rsid w:val="00896418"/>
    <w:rPr>
      <w:rFonts w:asciiTheme="majorHAnsi" w:hAnsiTheme="majorHAnsi"/>
      <w:b/>
      <w:bCs/>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44">
      <w:bodyDiv w:val="1"/>
      <w:marLeft w:val="0"/>
      <w:marRight w:val="0"/>
      <w:marTop w:val="0"/>
      <w:marBottom w:val="0"/>
      <w:divBdr>
        <w:top w:val="none" w:sz="0" w:space="0" w:color="auto"/>
        <w:left w:val="none" w:sz="0" w:space="0" w:color="auto"/>
        <w:bottom w:val="none" w:sz="0" w:space="0" w:color="auto"/>
        <w:right w:val="none" w:sz="0" w:space="0" w:color="auto"/>
      </w:divBdr>
    </w:div>
    <w:div w:id="71709436">
      <w:bodyDiv w:val="1"/>
      <w:marLeft w:val="0"/>
      <w:marRight w:val="0"/>
      <w:marTop w:val="0"/>
      <w:marBottom w:val="0"/>
      <w:divBdr>
        <w:top w:val="none" w:sz="0" w:space="0" w:color="auto"/>
        <w:left w:val="none" w:sz="0" w:space="0" w:color="auto"/>
        <w:bottom w:val="none" w:sz="0" w:space="0" w:color="auto"/>
        <w:right w:val="none" w:sz="0" w:space="0" w:color="auto"/>
      </w:divBdr>
    </w:div>
    <w:div w:id="172379847">
      <w:bodyDiv w:val="1"/>
      <w:marLeft w:val="0"/>
      <w:marRight w:val="0"/>
      <w:marTop w:val="0"/>
      <w:marBottom w:val="0"/>
      <w:divBdr>
        <w:top w:val="none" w:sz="0" w:space="0" w:color="auto"/>
        <w:left w:val="none" w:sz="0" w:space="0" w:color="auto"/>
        <w:bottom w:val="none" w:sz="0" w:space="0" w:color="auto"/>
        <w:right w:val="none" w:sz="0" w:space="0" w:color="auto"/>
      </w:divBdr>
    </w:div>
    <w:div w:id="178588826">
      <w:bodyDiv w:val="1"/>
      <w:marLeft w:val="0"/>
      <w:marRight w:val="0"/>
      <w:marTop w:val="0"/>
      <w:marBottom w:val="0"/>
      <w:divBdr>
        <w:top w:val="none" w:sz="0" w:space="0" w:color="auto"/>
        <w:left w:val="none" w:sz="0" w:space="0" w:color="auto"/>
        <w:bottom w:val="none" w:sz="0" w:space="0" w:color="auto"/>
        <w:right w:val="none" w:sz="0" w:space="0" w:color="auto"/>
      </w:divBdr>
    </w:div>
    <w:div w:id="286817017">
      <w:bodyDiv w:val="1"/>
      <w:marLeft w:val="0"/>
      <w:marRight w:val="0"/>
      <w:marTop w:val="0"/>
      <w:marBottom w:val="0"/>
      <w:divBdr>
        <w:top w:val="none" w:sz="0" w:space="0" w:color="auto"/>
        <w:left w:val="none" w:sz="0" w:space="0" w:color="auto"/>
        <w:bottom w:val="none" w:sz="0" w:space="0" w:color="auto"/>
        <w:right w:val="none" w:sz="0" w:space="0" w:color="auto"/>
      </w:divBdr>
    </w:div>
    <w:div w:id="308487495">
      <w:bodyDiv w:val="1"/>
      <w:marLeft w:val="0"/>
      <w:marRight w:val="0"/>
      <w:marTop w:val="0"/>
      <w:marBottom w:val="0"/>
      <w:divBdr>
        <w:top w:val="none" w:sz="0" w:space="0" w:color="auto"/>
        <w:left w:val="none" w:sz="0" w:space="0" w:color="auto"/>
        <w:bottom w:val="none" w:sz="0" w:space="0" w:color="auto"/>
        <w:right w:val="none" w:sz="0" w:space="0" w:color="auto"/>
      </w:divBdr>
      <w:divsChild>
        <w:div w:id="71514103">
          <w:marLeft w:val="446"/>
          <w:marRight w:val="0"/>
          <w:marTop w:val="120"/>
          <w:marBottom w:val="120"/>
          <w:divBdr>
            <w:top w:val="none" w:sz="0" w:space="0" w:color="auto"/>
            <w:left w:val="none" w:sz="0" w:space="0" w:color="auto"/>
            <w:bottom w:val="none" w:sz="0" w:space="0" w:color="auto"/>
            <w:right w:val="none" w:sz="0" w:space="0" w:color="auto"/>
          </w:divBdr>
        </w:div>
        <w:div w:id="571427691">
          <w:marLeft w:val="446"/>
          <w:marRight w:val="0"/>
          <w:marTop w:val="120"/>
          <w:marBottom w:val="120"/>
          <w:divBdr>
            <w:top w:val="none" w:sz="0" w:space="0" w:color="auto"/>
            <w:left w:val="none" w:sz="0" w:space="0" w:color="auto"/>
            <w:bottom w:val="none" w:sz="0" w:space="0" w:color="auto"/>
            <w:right w:val="none" w:sz="0" w:space="0" w:color="auto"/>
          </w:divBdr>
        </w:div>
        <w:div w:id="932669232">
          <w:marLeft w:val="446"/>
          <w:marRight w:val="0"/>
          <w:marTop w:val="120"/>
          <w:marBottom w:val="120"/>
          <w:divBdr>
            <w:top w:val="none" w:sz="0" w:space="0" w:color="auto"/>
            <w:left w:val="none" w:sz="0" w:space="0" w:color="auto"/>
            <w:bottom w:val="none" w:sz="0" w:space="0" w:color="auto"/>
            <w:right w:val="none" w:sz="0" w:space="0" w:color="auto"/>
          </w:divBdr>
        </w:div>
        <w:div w:id="1300380973">
          <w:marLeft w:val="446"/>
          <w:marRight w:val="0"/>
          <w:marTop w:val="120"/>
          <w:marBottom w:val="120"/>
          <w:divBdr>
            <w:top w:val="none" w:sz="0" w:space="0" w:color="auto"/>
            <w:left w:val="none" w:sz="0" w:space="0" w:color="auto"/>
            <w:bottom w:val="none" w:sz="0" w:space="0" w:color="auto"/>
            <w:right w:val="none" w:sz="0" w:space="0" w:color="auto"/>
          </w:divBdr>
        </w:div>
        <w:div w:id="1314994137">
          <w:marLeft w:val="446"/>
          <w:marRight w:val="0"/>
          <w:marTop w:val="120"/>
          <w:marBottom w:val="120"/>
          <w:divBdr>
            <w:top w:val="none" w:sz="0" w:space="0" w:color="auto"/>
            <w:left w:val="none" w:sz="0" w:space="0" w:color="auto"/>
            <w:bottom w:val="none" w:sz="0" w:space="0" w:color="auto"/>
            <w:right w:val="none" w:sz="0" w:space="0" w:color="auto"/>
          </w:divBdr>
        </w:div>
        <w:div w:id="1361904560">
          <w:marLeft w:val="446"/>
          <w:marRight w:val="0"/>
          <w:marTop w:val="120"/>
          <w:marBottom w:val="120"/>
          <w:divBdr>
            <w:top w:val="none" w:sz="0" w:space="0" w:color="auto"/>
            <w:left w:val="none" w:sz="0" w:space="0" w:color="auto"/>
            <w:bottom w:val="none" w:sz="0" w:space="0" w:color="auto"/>
            <w:right w:val="none" w:sz="0" w:space="0" w:color="auto"/>
          </w:divBdr>
        </w:div>
        <w:div w:id="1897934956">
          <w:marLeft w:val="446"/>
          <w:marRight w:val="0"/>
          <w:marTop w:val="120"/>
          <w:marBottom w:val="120"/>
          <w:divBdr>
            <w:top w:val="none" w:sz="0" w:space="0" w:color="auto"/>
            <w:left w:val="none" w:sz="0" w:space="0" w:color="auto"/>
            <w:bottom w:val="none" w:sz="0" w:space="0" w:color="auto"/>
            <w:right w:val="none" w:sz="0" w:space="0" w:color="auto"/>
          </w:divBdr>
        </w:div>
        <w:div w:id="2044551275">
          <w:marLeft w:val="446"/>
          <w:marRight w:val="0"/>
          <w:marTop w:val="120"/>
          <w:marBottom w:val="120"/>
          <w:divBdr>
            <w:top w:val="none" w:sz="0" w:space="0" w:color="auto"/>
            <w:left w:val="none" w:sz="0" w:space="0" w:color="auto"/>
            <w:bottom w:val="none" w:sz="0" w:space="0" w:color="auto"/>
            <w:right w:val="none" w:sz="0" w:space="0" w:color="auto"/>
          </w:divBdr>
        </w:div>
        <w:div w:id="2092656089">
          <w:marLeft w:val="446"/>
          <w:marRight w:val="0"/>
          <w:marTop w:val="120"/>
          <w:marBottom w:val="120"/>
          <w:divBdr>
            <w:top w:val="none" w:sz="0" w:space="0" w:color="auto"/>
            <w:left w:val="none" w:sz="0" w:space="0" w:color="auto"/>
            <w:bottom w:val="none" w:sz="0" w:space="0" w:color="auto"/>
            <w:right w:val="none" w:sz="0" w:space="0" w:color="auto"/>
          </w:divBdr>
        </w:div>
      </w:divsChild>
    </w:div>
    <w:div w:id="309600222">
      <w:bodyDiv w:val="1"/>
      <w:marLeft w:val="0"/>
      <w:marRight w:val="0"/>
      <w:marTop w:val="0"/>
      <w:marBottom w:val="0"/>
      <w:divBdr>
        <w:top w:val="none" w:sz="0" w:space="0" w:color="auto"/>
        <w:left w:val="none" w:sz="0" w:space="0" w:color="auto"/>
        <w:bottom w:val="none" w:sz="0" w:space="0" w:color="auto"/>
        <w:right w:val="none" w:sz="0" w:space="0" w:color="auto"/>
      </w:divBdr>
    </w:div>
    <w:div w:id="353269449">
      <w:bodyDiv w:val="1"/>
      <w:marLeft w:val="0"/>
      <w:marRight w:val="0"/>
      <w:marTop w:val="0"/>
      <w:marBottom w:val="0"/>
      <w:divBdr>
        <w:top w:val="none" w:sz="0" w:space="0" w:color="auto"/>
        <w:left w:val="none" w:sz="0" w:space="0" w:color="auto"/>
        <w:bottom w:val="none" w:sz="0" w:space="0" w:color="auto"/>
        <w:right w:val="none" w:sz="0" w:space="0" w:color="auto"/>
      </w:divBdr>
    </w:div>
    <w:div w:id="389697718">
      <w:bodyDiv w:val="1"/>
      <w:marLeft w:val="0"/>
      <w:marRight w:val="0"/>
      <w:marTop w:val="0"/>
      <w:marBottom w:val="0"/>
      <w:divBdr>
        <w:top w:val="none" w:sz="0" w:space="0" w:color="auto"/>
        <w:left w:val="none" w:sz="0" w:space="0" w:color="auto"/>
        <w:bottom w:val="none" w:sz="0" w:space="0" w:color="auto"/>
        <w:right w:val="none" w:sz="0" w:space="0" w:color="auto"/>
      </w:divBdr>
    </w:div>
    <w:div w:id="405300107">
      <w:bodyDiv w:val="1"/>
      <w:marLeft w:val="0"/>
      <w:marRight w:val="0"/>
      <w:marTop w:val="0"/>
      <w:marBottom w:val="0"/>
      <w:divBdr>
        <w:top w:val="none" w:sz="0" w:space="0" w:color="auto"/>
        <w:left w:val="none" w:sz="0" w:space="0" w:color="auto"/>
        <w:bottom w:val="none" w:sz="0" w:space="0" w:color="auto"/>
        <w:right w:val="none" w:sz="0" w:space="0" w:color="auto"/>
      </w:divBdr>
      <w:divsChild>
        <w:div w:id="29500826">
          <w:marLeft w:val="1267"/>
          <w:marRight w:val="0"/>
          <w:marTop w:val="120"/>
          <w:marBottom w:val="120"/>
          <w:divBdr>
            <w:top w:val="none" w:sz="0" w:space="0" w:color="auto"/>
            <w:left w:val="none" w:sz="0" w:space="0" w:color="auto"/>
            <w:bottom w:val="none" w:sz="0" w:space="0" w:color="auto"/>
            <w:right w:val="none" w:sz="0" w:space="0" w:color="auto"/>
          </w:divBdr>
        </w:div>
        <w:div w:id="109277286">
          <w:marLeft w:val="1267"/>
          <w:marRight w:val="0"/>
          <w:marTop w:val="120"/>
          <w:marBottom w:val="120"/>
          <w:divBdr>
            <w:top w:val="none" w:sz="0" w:space="0" w:color="auto"/>
            <w:left w:val="none" w:sz="0" w:space="0" w:color="auto"/>
            <w:bottom w:val="none" w:sz="0" w:space="0" w:color="auto"/>
            <w:right w:val="none" w:sz="0" w:space="0" w:color="auto"/>
          </w:divBdr>
        </w:div>
        <w:div w:id="486627341">
          <w:marLeft w:val="446"/>
          <w:marRight w:val="0"/>
          <w:marTop w:val="120"/>
          <w:marBottom w:val="120"/>
          <w:divBdr>
            <w:top w:val="none" w:sz="0" w:space="0" w:color="auto"/>
            <w:left w:val="none" w:sz="0" w:space="0" w:color="auto"/>
            <w:bottom w:val="none" w:sz="0" w:space="0" w:color="auto"/>
            <w:right w:val="none" w:sz="0" w:space="0" w:color="auto"/>
          </w:divBdr>
        </w:div>
        <w:div w:id="759569494">
          <w:marLeft w:val="1267"/>
          <w:marRight w:val="0"/>
          <w:marTop w:val="120"/>
          <w:marBottom w:val="120"/>
          <w:divBdr>
            <w:top w:val="none" w:sz="0" w:space="0" w:color="auto"/>
            <w:left w:val="none" w:sz="0" w:space="0" w:color="auto"/>
            <w:bottom w:val="none" w:sz="0" w:space="0" w:color="auto"/>
            <w:right w:val="none" w:sz="0" w:space="0" w:color="auto"/>
          </w:divBdr>
        </w:div>
        <w:div w:id="1213079361">
          <w:marLeft w:val="547"/>
          <w:marRight w:val="0"/>
          <w:marTop w:val="120"/>
          <w:marBottom w:val="120"/>
          <w:divBdr>
            <w:top w:val="none" w:sz="0" w:space="0" w:color="auto"/>
            <w:left w:val="none" w:sz="0" w:space="0" w:color="auto"/>
            <w:bottom w:val="none" w:sz="0" w:space="0" w:color="auto"/>
            <w:right w:val="none" w:sz="0" w:space="0" w:color="auto"/>
          </w:divBdr>
        </w:div>
        <w:div w:id="1408384822">
          <w:marLeft w:val="1267"/>
          <w:marRight w:val="0"/>
          <w:marTop w:val="120"/>
          <w:marBottom w:val="120"/>
          <w:divBdr>
            <w:top w:val="none" w:sz="0" w:space="0" w:color="auto"/>
            <w:left w:val="none" w:sz="0" w:space="0" w:color="auto"/>
            <w:bottom w:val="none" w:sz="0" w:space="0" w:color="auto"/>
            <w:right w:val="none" w:sz="0" w:space="0" w:color="auto"/>
          </w:divBdr>
        </w:div>
        <w:div w:id="1420365703">
          <w:marLeft w:val="446"/>
          <w:marRight w:val="0"/>
          <w:marTop w:val="120"/>
          <w:marBottom w:val="120"/>
          <w:divBdr>
            <w:top w:val="none" w:sz="0" w:space="0" w:color="auto"/>
            <w:left w:val="none" w:sz="0" w:space="0" w:color="auto"/>
            <w:bottom w:val="none" w:sz="0" w:space="0" w:color="auto"/>
            <w:right w:val="none" w:sz="0" w:space="0" w:color="auto"/>
          </w:divBdr>
        </w:div>
        <w:div w:id="1699231707">
          <w:marLeft w:val="1267"/>
          <w:marRight w:val="0"/>
          <w:marTop w:val="120"/>
          <w:marBottom w:val="120"/>
          <w:divBdr>
            <w:top w:val="none" w:sz="0" w:space="0" w:color="auto"/>
            <w:left w:val="none" w:sz="0" w:space="0" w:color="auto"/>
            <w:bottom w:val="none" w:sz="0" w:space="0" w:color="auto"/>
            <w:right w:val="none" w:sz="0" w:space="0" w:color="auto"/>
          </w:divBdr>
        </w:div>
      </w:divsChild>
    </w:div>
    <w:div w:id="409930123">
      <w:bodyDiv w:val="1"/>
      <w:marLeft w:val="0"/>
      <w:marRight w:val="0"/>
      <w:marTop w:val="0"/>
      <w:marBottom w:val="0"/>
      <w:divBdr>
        <w:top w:val="none" w:sz="0" w:space="0" w:color="auto"/>
        <w:left w:val="none" w:sz="0" w:space="0" w:color="auto"/>
        <w:bottom w:val="none" w:sz="0" w:space="0" w:color="auto"/>
        <w:right w:val="none" w:sz="0" w:space="0" w:color="auto"/>
      </w:divBdr>
    </w:div>
    <w:div w:id="459691228">
      <w:bodyDiv w:val="1"/>
      <w:marLeft w:val="0"/>
      <w:marRight w:val="0"/>
      <w:marTop w:val="0"/>
      <w:marBottom w:val="0"/>
      <w:divBdr>
        <w:top w:val="none" w:sz="0" w:space="0" w:color="auto"/>
        <w:left w:val="none" w:sz="0" w:space="0" w:color="auto"/>
        <w:bottom w:val="none" w:sz="0" w:space="0" w:color="auto"/>
        <w:right w:val="none" w:sz="0" w:space="0" w:color="auto"/>
      </w:divBdr>
    </w:div>
    <w:div w:id="493450560">
      <w:bodyDiv w:val="1"/>
      <w:marLeft w:val="0"/>
      <w:marRight w:val="0"/>
      <w:marTop w:val="0"/>
      <w:marBottom w:val="0"/>
      <w:divBdr>
        <w:top w:val="none" w:sz="0" w:space="0" w:color="auto"/>
        <w:left w:val="none" w:sz="0" w:space="0" w:color="auto"/>
        <w:bottom w:val="none" w:sz="0" w:space="0" w:color="auto"/>
        <w:right w:val="none" w:sz="0" w:space="0" w:color="auto"/>
      </w:divBdr>
    </w:div>
    <w:div w:id="504394548">
      <w:bodyDiv w:val="1"/>
      <w:marLeft w:val="0"/>
      <w:marRight w:val="0"/>
      <w:marTop w:val="0"/>
      <w:marBottom w:val="0"/>
      <w:divBdr>
        <w:top w:val="none" w:sz="0" w:space="0" w:color="auto"/>
        <w:left w:val="none" w:sz="0" w:space="0" w:color="auto"/>
        <w:bottom w:val="none" w:sz="0" w:space="0" w:color="auto"/>
        <w:right w:val="none" w:sz="0" w:space="0" w:color="auto"/>
      </w:divBdr>
    </w:div>
    <w:div w:id="542328649">
      <w:bodyDiv w:val="1"/>
      <w:marLeft w:val="0"/>
      <w:marRight w:val="0"/>
      <w:marTop w:val="0"/>
      <w:marBottom w:val="0"/>
      <w:divBdr>
        <w:top w:val="none" w:sz="0" w:space="0" w:color="auto"/>
        <w:left w:val="none" w:sz="0" w:space="0" w:color="auto"/>
        <w:bottom w:val="none" w:sz="0" w:space="0" w:color="auto"/>
        <w:right w:val="none" w:sz="0" w:space="0" w:color="auto"/>
      </w:divBdr>
    </w:div>
    <w:div w:id="586160342">
      <w:bodyDiv w:val="1"/>
      <w:marLeft w:val="0"/>
      <w:marRight w:val="0"/>
      <w:marTop w:val="0"/>
      <w:marBottom w:val="0"/>
      <w:divBdr>
        <w:top w:val="none" w:sz="0" w:space="0" w:color="auto"/>
        <w:left w:val="none" w:sz="0" w:space="0" w:color="auto"/>
        <w:bottom w:val="none" w:sz="0" w:space="0" w:color="auto"/>
        <w:right w:val="none" w:sz="0" w:space="0" w:color="auto"/>
      </w:divBdr>
    </w:div>
    <w:div w:id="604387251">
      <w:bodyDiv w:val="1"/>
      <w:marLeft w:val="0"/>
      <w:marRight w:val="0"/>
      <w:marTop w:val="0"/>
      <w:marBottom w:val="0"/>
      <w:divBdr>
        <w:top w:val="none" w:sz="0" w:space="0" w:color="auto"/>
        <w:left w:val="none" w:sz="0" w:space="0" w:color="auto"/>
        <w:bottom w:val="none" w:sz="0" w:space="0" w:color="auto"/>
        <w:right w:val="none" w:sz="0" w:space="0" w:color="auto"/>
      </w:divBdr>
    </w:div>
    <w:div w:id="617297046">
      <w:bodyDiv w:val="1"/>
      <w:marLeft w:val="0"/>
      <w:marRight w:val="0"/>
      <w:marTop w:val="0"/>
      <w:marBottom w:val="0"/>
      <w:divBdr>
        <w:top w:val="none" w:sz="0" w:space="0" w:color="auto"/>
        <w:left w:val="none" w:sz="0" w:space="0" w:color="auto"/>
        <w:bottom w:val="none" w:sz="0" w:space="0" w:color="auto"/>
        <w:right w:val="none" w:sz="0" w:space="0" w:color="auto"/>
      </w:divBdr>
    </w:div>
    <w:div w:id="642082468">
      <w:bodyDiv w:val="1"/>
      <w:marLeft w:val="0"/>
      <w:marRight w:val="0"/>
      <w:marTop w:val="0"/>
      <w:marBottom w:val="0"/>
      <w:divBdr>
        <w:top w:val="none" w:sz="0" w:space="0" w:color="auto"/>
        <w:left w:val="none" w:sz="0" w:space="0" w:color="auto"/>
        <w:bottom w:val="none" w:sz="0" w:space="0" w:color="auto"/>
        <w:right w:val="none" w:sz="0" w:space="0" w:color="auto"/>
      </w:divBdr>
    </w:div>
    <w:div w:id="646401491">
      <w:bodyDiv w:val="1"/>
      <w:marLeft w:val="0"/>
      <w:marRight w:val="0"/>
      <w:marTop w:val="0"/>
      <w:marBottom w:val="0"/>
      <w:divBdr>
        <w:top w:val="none" w:sz="0" w:space="0" w:color="auto"/>
        <w:left w:val="none" w:sz="0" w:space="0" w:color="auto"/>
        <w:bottom w:val="none" w:sz="0" w:space="0" w:color="auto"/>
        <w:right w:val="none" w:sz="0" w:space="0" w:color="auto"/>
      </w:divBdr>
    </w:div>
    <w:div w:id="649797055">
      <w:bodyDiv w:val="1"/>
      <w:marLeft w:val="0"/>
      <w:marRight w:val="0"/>
      <w:marTop w:val="0"/>
      <w:marBottom w:val="0"/>
      <w:divBdr>
        <w:top w:val="none" w:sz="0" w:space="0" w:color="auto"/>
        <w:left w:val="none" w:sz="0" w:space="0" w:color="auto"/>
        <w:bottom w:val="none" w:sz="0" w:space="0" w:color="auto"/>
        <w:right w:val="none" w:sz="0" w:space="0" w:color="auto"/>
      </w:divBdr>
    </w:div>
    <w:div w:id="688917135">
      <w:bodyDiv w:val="1"/>
      <w:marLeft w:val="0"/>
      <w:marRight w:val="0"/>
      <w:marTop w:val="0"/>
      <w:marBottom w:val="0"/>
      <w:divBdr>
        <w:top w:val="none" w:sz="0" w:space="0" w:color="auto"/>
        <w:left w:val="none" w:sz="0" w:space="0" w:color="auto"/>
        <w:bottom w:val="none" w:sz="0" w:space="0" w:color="auto"/>
        <w:right w:val="none" w:sz="0" w:space="0" w:color="auto"/>
      </w:divBdr>
    </w:div>
    <w:div w:id="704910452">
      <w:bodyDiv w:val="1"/>
      <w:marLeft w:val="0"/>
      <w:marRight w:val="0"/>
      <w:marTop w:val="0"/>
      <w:marBottom w:val="0"/>
      <w:divBdr>
        <w:top w:val="none" w:sz="0" w:space="0" w:color="auto"/>
        <w:left w:val="none" w:sz="0" w:space="0" w:color="auto"/>
        <w:bottom w:val="none" w:sz="0" w:space="0" w:color="auto"/>
        <w:right w:val="none" w:sz="0" w:space="0" w:color="auto"/>
      </w:divBdr>
    </w:div>
    <w:div w:id="736173248">
      <w:bodyDiv w:val="1"/>
      <w:marLeft w:val="0"/>
      <w:marRight w:val="0"/>
      <w:marTop w:val="0"/>
      <w:marBottom w:val="0"/>
      <w:divBdr>
        <w:top w:val="none" w:sz="0" w:space="0" w:color="auto"/>
        <w:left w:val="none" w:sz="0" w:space="0" w:color="auto"/>
        <w:bottom w:val="none" w:sz="0" w:space="0" w:color="auto"/>
        <w:right w:val="none" w:sz="0" w:space="0" w:color="auto"/>
      </w:divBdr>
    </w:div>
    <w:div w:id="850296142">
      <w:bodyDiv w:val="1"/>
      <w:marLeft w:val="0"/>
      <w:marRight w:val="0"/>
      <w:marTop w:val="0"/>
      <w:marBottom w:val="0"/>
      <w:divBdr>
        <w:top w:val="none" w:sz="0" w:space="0" w:color="auto"/>
        <w:left w:val="none" w:sz="0" w:space="0" w:color="auto"/>
        <w:bottom w:val="none" w:sz="0" w:space="0" w:color="auto"/>
        <w:right w:val="none" w:sz="0" w:space="0" w:color="auto"/>
      </w:divBdr>
    </w:div>
    <w:div w:id="941454506">
      <w:bodyDiv w:val="1"/>
      <w:marLeft w:val="0"/>
      <w:marRight w:val="0"/>
      <w:marTop w:val="0"/>
      <w:marBottom w:val="0"/>
      <w:divBdr>
        <w:top w:val="none" w:sz="0" w:space="0" w:color="auto"/>
        <w:left w:val="none" w:sz="0" w:space="0" w:color="auto"/>
        <w:bottom w:val="none" w:sz="0" w:space="0" w:color="auto"/>
        <w:right w:val="none" w:sz="0" w:space="0" w:color="auto"/>
      </w:divBdr>
    </w:div>
    <w:div w:id="973561392">
      <w:bodyDiv w:val="1"/>
      <w:marLeft w:val="0"/>
      <w:marRight w:val="0"/>
      <w:marTop w:val="0"/>
      <w:marBottom w:val="0"/>
      <w:divBdr>
        <w:top w:val="none" w:sz="0" w:space="0" w:color="auto"/>
        <w:left w:val="none" w:sz="0" w:space="0" w:color="auto"/>
        <w:bottom w:val="none" w:sz="0" w:space="0" w:color="auto"/>
        <w:right w:val="none" w:sz="0" w:space="0" w:color="auto"/>
      </w:divBdr>
    </w:div>
    <w:div w:id="977101594">
      <w:bodyDiv w:val="1"/>
      <w:marLeft w:val="0"/>
      <w:marRight w:val="0"/>
      <w:marTop w:val="0"/>
      <w:marBottom w:val="0"/>
      <w:divBdr>
        <w:top w:val="none" w:sz="0" w:space="0" w:color="auto"/>
        <w:left w:val="none" w:sz="0" w:space="0" w:color="auto"/>
        <w:bottom w:val="none" w:sz="0" w:space="0" w:color="auto"/>
        <w:right w:val="none" w:sz="0" w:space="0" w:color="auto"/>
      </w:divBdr>
    </w:div>
    <w:div w:id="996030149">
      <w:bodyDiv w:val="1"/>
      <w:marLeft w:val="0"/>
      <w:marRight w:val="0"/>
      <w:marTop w:val="0"/>
      <w:marBottom w:val="0"/>
      <w:divBdr>
        <w:top w:val="none" w:sz="0" w:space="0" w:color="auto"/>
        <w:left w:val="none" w:sz="0" w:space="0" w:color="auto"/>
        <w:bottom w:val="none" w:sz="0" w:space="0" w:color="auto"/>
        <w:right w:val="none" w:sz="0" w:space="0" w:color="auto"/>
      </w:divBdr>
    </w:div>
    <w:div w:id="1096364718">
      <w:bodyDiv w:val="1"/>
      <w:marLeft w:val="0"/>
      <w:marRight w:val="0"/>
      <w:marTop w:val="0"/>
      <w:marBottom w:val="0"/>
      <w:divBdr>
        <w:top w:val="none" w:sz="0" w:space="0" w:color="auto"/>
        <w:left w:val="none" w:sz="0" w:space="0" w:color="auto"/>
        <w:bottom w:val="none" w:sz="0" w:space="0" w:color="auto"/>
        <w:right w:val="none" w:sz="0" w:space="0" w:color="auto"/>
      </w:divBdr>
    </w:div>
    <w:div w:id="1108087361">
      <w:bodyDiv w:val="1"/>
      <w:marLeft w:val="0"/>
      <w:marRight w:val="0"/>
      <w:marTop w:val="0"/>
      <w:marBottom w:val="0"/>
      <w:divBdr>
        <w:top w:val="none" w:sz="0" w:space="0" w:color="auto"/>
        <w:left w:val="none" w:sz="0" w:space="0" w:color="auto"/>
        <w:bottom w:val="none" w:sz="0" w:space="0" w:color="auto"/>
        <w:right w:val="none" w:sz="0" w:space="0" w:color="auto"/>
      </w:divBdr>
    </w:div>
    <w:div w:id="1171336436">
      <w:bodyDiv w:val="1"/>
      <w:marLeft w:val="0"/>
      <w:marRight w:val="0"/>
      <w:marTop w:val="0"/>
      <w:marBottom w:val="0"/>
      <w:divBdr>
        <w:top w:val="none" w:sz="0" w:space="0" w:color="auto"/>
        <w:left w:val="none" w:sz="0" w:space="0" w:color="auto"/>
        <w:bottom w:val="none" w:sz="0" w:space="0" w:color="auto"/>
        <w:right w:val="none" w:sz="0" w:space="0" w:color="auto"/>
      </w:divBdr>
      <w:divsChild>
        <w:div w:id="199245105">
          <w:marLeft w:val="446"/>
          <w:marRight w:val="0"/>
          <w:marTop w:val="120"/>
          <w:marBottom w:val="120"/>
          <w:divBdr>
            <w:top w:val="none" w:sz="0" w:space="0" w:color="auto"/>
            <w:left w:val="none" w:sz="0" w:space="0" w:color="auto"/>
            <w:bottom w:val="none" w:sz="0" w:space="0" w:color="auto"/>
            <w:right w:val="none" w:sz="0" w:space="0" w:color="auto"/>
          </w:divBdr>
        </w:div>
        <w:div w:id="222985341">
          <w:marLeft w:val="446"/>
          <w:marRight w:val="0"/>
          <w:marTop w:val="120"/>
          <w:marBottom w:val="120"/>
          <w:divBdr>
            <w:top w:val="none" w:sz="0" w:space="0" w:color="auto"/>
            <w:left w:val="none" w:sz="0" w:space="0" w:color="auto"/>
            <w:bottom w:val="none" w:sz="0" w:space="0" w:color="auto"/>
            <w:right w:val="none" w:sz="0" w:space="0" w:color="auto"/>
          </w:divBdr>
        </w:div>
        <w:div w:id="1800798917">
          <w:marLeft w:val="446"/>
          <w:marRight w:val="0"/>
          <w:marTop w:val="120"/>
          <w:marBottom w:val="120"/>
          <w:divBdr>
            <w:top w:val="none" w:sz="0" w:space="0" w:color="auto"/>
            <w:left w:val="none" w:sz="0" w:space="0" w:color="auto"/>
            <w:bottom w:val="none" w:sz="0" w:space="0" w:color="auto"/>
            <w:right w:val="none" w:sz="0" w:space="0" w:color="auto"/>
          </w:divBdr>
        </w:div>
      </w:divsChild>
    </w:div>
    <w:div w:id="1221399414">
      <w:bodyDiv w:val="1"/>
      <w:marLeft w:val="0"/>
      <w:marRight w:val="0"/>
      <w:marTop w:val="0"/>
      <w:marBottom w:val="0"/>
      <w:divBdr>
        <w:top w:val="none" w:sz="0" w:space="0" w:color="auto"/>
        <w:left w:val="none" w:sz="0" w:space="0" w:color="auto"/>
        <w:bottom w:val="none" w:sz="0" w:space="0" w:color="auto"/>
        <w:right w:val="none" w:sz="0" w:space="0" w:color="auto"/>
      </w:divBdr>
    </w:div>
    <w:div w:id="1230995032">
      <w:bodyDiv w:val="1"/>
      <w:marLeft w:val="0"/>
      <w:marRight w:val="0"/>
      <w:marTop w:val="0"/>
      <w:marBottom w:val="0"/>
      <w:divBdr>
        <w:top w:val="none" w:sz="0" w:space="0" w:color="auto"/>
        <w:left w:val="none" w:sz="0" w:space="0" w:color="auto"/>
        <w:bottom w:val="none" w:sz="0" w:space="0" w:color="auto"/>
        <w:right w:val="none" w:sz="0" w:space="0" w:color="auto"/>
      </w:divBdr>
    </w:div>
    <w:div w:id="1276136190">
      <w:bodyDiv w:val="1"/>
      <w:marLeft w:val="0"/>
      <w:marRight w:val="0"/>
      <w:marTop w:val="0"/>
      <w:marBottom w:val="0"/>
      <w:divBdr>
        <w:top w:val="none" w:sz="0" w:space="0" w:color="auto"/>
        <w:left w:val="none" w:sz="0" w:space="0" w:color="auto"/>
        <w:bottom w:val="none" w:sz="0" w:space="0" w:color="auto"/>
        <w:right w:val="none" w:sz="0" w:space="0" w:color="auto"/>
      </w:divBdr>
    </w:div>
    <w:div w:id="1276252353">
      <w:bodyDiv w:val="1"/>
      <w:marLeft w:val="0"/>
      <w:marRight w:val="0"/>
      <w:marTop w:val="0"/>
      <w:marBottom w:val="0"/>
      <w:divBdr>
        <w:top w:val="none" w:sz="0" w:space="0" w:color="auto"/>
        <w:left w:val="none" w:sz="0" w:space="0" w:color="auto"/>
        <w:bottom w:val="none" w:sz="0" w:space="0" w:color="auto"/>
        <w:right w:val="none" w:sz="0" w:space="0" w:color="auto"/>
      </w:divBdr>
    </w:div>
    <w:div w:id="1293438290">
      <w:bodyDiv w:val="1"/>
      <w:marLeft w:val="0"/>
      <w:marRight w:val="0"/>
      <w:marTop w:val="0"/>
      <w:marBottom w:val="0"/>
      <w:divBdr>
        <w:top w:val="none" w:sz="0" w:space="0" w:color="auto"/>
        <w:left w:val="none" w:sz="0" w:space="0" w:color="auto"/>
        <w:bottom w:val="none" w:sz="0" w:space="0" w:color="auto"/>
        <w:right w:val="none" w:sz="0" w:space="0" w:color="auto"/>
      </w:divBdr>
    </w:div>
    <w:div w:id="1337925437">
      <w:bodyDiv w:val="1"/>
      <w:marLeft w:val="0"/>
      <w:marRight w:val="0"/>
      <w:marTop w:val="0"/>
      <w:marBottom w:val="0"/>
      <w:divBdr>
        <w:top w:val="none" w:sz="0" w:space="0" w:color="auto"/>
        <w:left w:val="none" w:sz="0" w:space="0" w:color="auto"/>
        <w:bottom w:val="none" w:sz="0" w:space="0" w:color="auto"/>
        <w:right w:val="none" w:sz="0" w:space="0" w:color="auto"/>
      </w:divBdr>
    </w:div>
    <w:div w:id="1423263854">
      <w:bodyDiv w:val="1"/>
      <w:marLeft w:val="0"/>
      <w:marRight w:val="0"/>
      <w:marTop w:val="0"/>
      <w:marBottom w:val="0"/>
      <w:divBdr>
        <w:top w:val="none" w:sz="0" w:space="0" w:color="auto"/>
        <w:left w:val="none" w:sz="0" w:space="0" w:color="auto"/>
        <w:bottom w:val="none" w:sz="0" w:space="0" w:color="auto"/>
        <w:right w:val="none" w:sz="0" w:space="0" w:color="auto"/>
      </w:divBdr>
    </w:div>
    <w:div w:id="1455128448">
      <w:bodyDiv w:val="1"/>
      <w:marLeft w:val="0"/>
      <w:marRight w:val="0"/>
      <w:marTop w:val="0"/>
      <w:marBottom w:val="0"/>
      <w:divBdr>
        <w:top w:val="none" w:sz="0" w:space="0" w:color="auto"/>
        <w:left w:val="none" w:sz="0" w:space="0" w:color="auto"/>
        <w:bottom w:val="none" w:sz="0" w:space="0" w:color="auto"/>
        <w:right w:val="none" w:sz="0" w:space="0" w:color="auto"/>
      </w:divBdr>
    </w:div>
    <w:div w:id="1477184640">
      <w:bodyDiv w:val="1"/>
      <w:marLeft w:val="0"/>
      <w:marRight w:val="0"/>
      <w:marTop w:val="0"/>
      <w:marBottom w:val="0"/>
      <w:divBdr>
        <w:top w:val="none" w:sz="0" w:space="0" w:color="auto"/>
        <w:left w:val="none" w:sz="0" w:space="0" w:color="auto"/>
        <w:bottom w:val="none" w:sz="0" w:space="0" w:color="auto"/>
        <w:right w:val="none" w:sz="0" w:space="0" w:color="auto"/>
      </w:divBdr>
    </w:div>
    <w:div w:id="1479152708">
      <w:bodyDiv w:val="1"/>
      <w:marLeft w:val="0"/>
      <w:marRight w:val="0"/>
      <w:marTop w:val="0"/>
      <w:marBottom w:val="0"/>
      <w:divBdr>
        <w:top w:val="none" w:sz="0" w:space="0" w:color="auto"/>
        <w:left w:val="none" w:sz="0" w:space="0" w:color="auto"/>
        <w:bottom w:val="none" w:sz="0" w:space="0" w:color="auto"/>
        <w:right w:val="none" w:sz="0" w:space="0" w:color="auto"/>
      </w:divBdr>
    </w:div>
    <w:div w:id="1529685895">
      <w:bodyDiv w:val="1"/>
      <w:marLeft w:val="0"/>
      <w:marRight w:val="0"/>
      <w:marTop w:val="0"/>
      <w:marBottom w:val="0"/>
      <w:divBdr>
        <w:top w:val="none" w:sz="0" w:space="0" w:color="auto"/>
        <w:left w:val="none" w:sz="0" w:space="0" w:color="auto"/>
        <w:bottom w:val="none" w:sz="0" w:space="0" w:color="auto"/>
        <w:right w:val="none" w:sz="0" w:space="0" w:color="auto"/>
      </w:divBdr>
    </w:div>
    <w:div w:id="1541163973">
      <w:bodyDiv w:val="1"/>
      <w:marLeft w:val="0"/>
      <w:marRight w:val="0"/>
      <w:marTop w:val="0"/>
      <w:marBottom w:val="0"/>
      <w:divBdr>
        <w:top w:val="none" w:sz="0" w:space="0" w:color="auto"/>
        <w:left w:val="none" w:sz="0" w:space="0" w:color="auto"/>
        <w:bottom w:val="none" w:sz="0" w:space="0" w:color="auto"/>
        <w:right w:val="none" w:sz="0" w:space="0" w:color="auto"/>
      </w:divBdr>
    </w:div>
    <w:div w:id="1541282423">
      <w:bodyDiv w:val="1"/>
      <w:marLeft w:val="0"/>
      <w:marRight w:val="0"/>
      <w:marTop w:val="0"/>
      <w:marBottom w:val="0"/>
      <w:divBdr>
        <w:top w:val="none" w:sz="0" w:space="0" w:color="auto"/>
        <w:left w:val="none" w:sz="0" w:space="0" w:color="auto"/>
        <w:bottom w:val="none" w:sz="0" w:space="0" w:color="auto"/>
        <w:right w:val="none" w:sz="0" w:space="0" w:color="auto"/>
      </w:divBdr>
    </w:div>
    <w:div w:id="1618487710">
      <w:bodyDiv w:val="1"/>
      <w:marLeft w:val="0"/>
      <w:marRight w:val="0"/>
      <w:marTop w:val="0"/>
      <w:marBottom w:val="0"/>
      <w:divBdr>
        <w:top w:val="none" w:sz="0" w:space="0" w:color="auto"/>
        <w:left w:val="none" w:sz="0" w:space="0" w:color="auto"/>
        <w:bottom w:val="none" w:sz="0" w:space="0" w:color="auto"/>
        <w:right w:val="none" w:sz="0" w:space="0" w:color="auto"/>
      </w:divBdr>
    </w:div>
    <w:div w:id="1704011056">
      <w:bodyDiv w:val="1"/>
      <w:marLeft w:val="0"/>
      <w:marRight w:val="0"/>
      <w:marTop w:val="0"/>
      <w:marBottom w:val="0"/>
      <w:divBdr>
        <w:top w:val="none" w:sz="0" w:space="0" w:color="auto"/>
        <w:left w:val="none" w:sz="0" w:space="0" w:color="auto"/>
        <w:bottom w:val="none" w:sz="0" w:space="0" w:color="auto"/>
        <w:right w:val="none" w:sz="0" w:space="0" w:color="auto"/>
      </w:divBdr>
    </w:div>
    <w:div w:id="1759213103">
      <w:bodyDiv w:val="1"/>
      <w:marLeft w:val="0"/>
      <w:marRight w:val="0"/>
      <w:marTop w:val="0"/>
      <w:marBottom w:val="0"/>
      <w:divBdr>
        <w:top w:val="none" w:sz="0" w:space="0" w:color="auto"/>
        <w:left w:val="none" w:sz="0" w:space="0" w:color="auto"/>
        <w:bottom w:val="none" w:sz="0" w:space="0" w:color="auto"/>
        <w:right w:val="none" w:sz="0" w:space="0" w:color="auto"/>
      </w:divBdr>
    </w:div>
    <w:div w:id="1811285136">
      <w:bodyDiv w:val="1"/>
      <w:marLeft w:val="0"/>
      <w:marRight w:val="0"/>
      <w:marTop w:val="0"/>
      <w:marBottom w:val="0"/>
      <w:divBdr>
        <w:top w:val="none" w:sz="0" w:space="0" w:color="auto"/>
        <w:left w:val="none" w:sz="0" w:space="0" w:color="auto"/>
        <w:bottom w:val="none" w:sz="0" w:space="0" w:color="auto"/>
        <w:right w:val="none" w:sz="0" w:space="0" w:color="auto"/>
      </w:divBdr>
    </w:div>
    <w:div w:id="1812138392">
      <w:bodyDiv w:val="1"/>
      <w:marLeft w:val="0"/>
      <w:marRight w:val="0"/>
      <w:marTop w:val="0"/>
      <w:marBottom w:val="0"/>
      <w:divBdr>
        <w:top w:val="none" w:sz="0" w:space="0" w:color="auto"/>
        <w:left w:val="none" w:sz="0" w:space="0" w:color="auto"/>
        <w:bottom w:val="none" w:sz="0" w:space="0" w:color="auto"/>
        <w:right w:val="none" w:sz="0" w:space="0" w:color="auto"/>
      </w:divBdr>
    </w:div>
    <w:div w:id="2003002711">
      <w:bodyDiv w:val="1"/>
      <w:marLeft w:val="0"/>
      <w:marRight w:val="0"/>
      <w:marTop w:val="0"/>
      <w:marBottom w:val="0"/>
      <w:divBdr>
        <w:top w:val="none" w:sz="0" w:space="0" w:color="auto"/>
        <w:left w:val="none" w:sz="0" w:space="0" w:color="auto"/>
        <w:bottom w:val="none" w:sz="0" w:space="0" w:color="auto"/>
        <w:right w:val="none" w:sz="0" w:space="0" w:color="auto"/>
      </w:divBdr>
    </w:div>
    <w:div w:id="2023581640">
      <w:bodyDiv w:val="1"/>
      <w:marLeft w:val="0"/>
      <w:marRight w:val="0"/>
      <w:marTop w:val="0"/>
      <w:marBottom w:val="0"/>
      <w:divBdr>
        <w:top w:val="none" w:sz="0" w:space="0" w:color="auto"/>
        <w:left w:val="none" w:sz="0" w:space="0" w:color="auto"/>
        <w:bottom w:val="none" w:sz="0" w:space="0" w:color="auto"/>
        <w:right w:val="none" w:sz="0" w:space="0" w:color="auto"/>
      </w:divBdr>
    </w:div>
    <w:div w:id="20594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4F6B-F241-4CA7-99DC-D9A48DE1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12035</Words>
  <Characters>64994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Reis</dc:creator>
  <cp:lastModifiedBy>Viviane</cp:lastModifiedBy>
  <cp:revision>4</cp:revision>
  <cp:lastPrinted>2018-10-01T19:39:00Z</cp:lastPrinted>
  <dcterms:created xsi:type="dcterms:W3CDTF">2018-10-01T19:39:00Z</dcterms:created>
  <dcterms:modified xsi:type="dcterms:W3CDTF">2020-04-29T14:47:00Z</dcterms:modified>
</cp:coreProperties>
</file>